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72" w:rsidRPr="00A85286" w:rsidRDefault="003E5672" w:rsidP="003E5672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63"/>
      <w:r w:rsidRPr="00A85286">
        <w:rPr>
          <w:b w:val="0"/>
          <w:i/>
          <w:caps w:val="0"/>
          <w:smallCaps/>
          <w:sz w:val="20"/>
          <w:szCs w:val="20"/>
        </w:rPr>
        <w:t>Приложение № 3.6</w:t>
      </w:r>
      <w:bookmarkEnd w:id="0"/>
    </w:p>
    <w:p w:rsidR="003E5672" w:rsidRPr="00E8734F" w:rsidRDefault="003E5672" w:rsidP="003E5672">
      <w:pPr>
        <w:keepNext/>
        <w:jc w:val="center"/>
        <w:outlineLvl w:val="2"/>
        <w:rPr>
          <w:b/>
          <w:color w:val="000000"/>
          <w:sz w:val="19"/>
          <w:szCs w:val="19"/>
        </w:rPr>
      </w:pPr>
    </w:p>
    <w:p w:rsidR="003E5672" w:rsidRPr="009217EF" w:rsidRDefault="003E5672" w:rsidP="003E5672">
      <w:pPr>
        <w:pStyle w:val="1"/>
        <w:rPr>
          <w:caps w:val="0"/>
          <w:sz w:val="24"/>
        </w:rPr>
      </w:pPr>
      <w:bookmarkStart w:id="1" w:name="_Toc180138164"/>
      <w:r>
        <w:rPr>
          <w:caps w:val="0"/>
          <w:sz w:val="24"/>
        </w:rPr>
        <w:t>ДЕКЛАРАЦИЯ О РИСКАХ</w:t>
      </w:r>
      <w:r w:rsidRPr="009217EF">
        <w:rPr>
          <w:caps w:val="0"/>
          <w:sz w:val="24"/>
        </w:rPr>
        <w:t xml:space="preserve">, </w:t>
      </w:r>
      <w:bookmarkStart w:id="2" w:name="_Toc180075076"/>
      <w:r>
        <w:rPr>
          <w:caps w:val="0"/>
          <w:sz w:val="24"/>
        </w:rPr>
        <w:t>СВЯЗАННЫХ С ОПЕРАЦИЯМИ С ЦЕННЫМИ БУМАГАМИ</w:t>
      </w:r>
      <w:r w:rsidRPr="009217EF">
        <w:rPr>
          <w:caps w:val="0"/>
          <w:sz w:val="24"/>
        </w:rPr>
        <w:t xml:space="preserve">, </w:t>
      </w:r>
      <w:r>
        <w:rPr>
          <w:caps w:val="0"/>
          <w:sz w:val="24"/>
        </w:rPr>
        <w:t>ТОРГУЕМЫМИ НА РЫНКЕ</w:t>
      </w:r>
      <w:r w:rsidRPr="009217EF">
        <w:rPr>
          <w:caps w:val="0"/>
          <w:sz w:val="24"/>
        </w:rPr>
        <w:t xml:space="preserve"> </w:t>
      </w:r>
      <w:r>
        <w:rPr>
          <w:caps w:val="0"/>
          <w:sz w:val="24"/>
        </w:rPr>
        <w:t>ИННОВАЦИЙ И ИНВЕСТИЦИЙ МОСКОВСКОЙ БИРЖИ</w:t>
      </w:r>
      <w:bookmarkEnd w:id="1"/>
      <w:r w:rsidRPr="009217EF">
        <w:rPr>
          <w:caps w:val="0"/>
          <w:sz w:val="24"/>
        </w:rPr>
        <w:t xml:space="preserve"> </w:t>
      </w:r>
    </w:p>
    <w:p w:rsidR="003E5672" w:rsidRPr="009217EF" w:rsidRDefault="003E5672" w:rsidP="003E5672">
      <w:pPr>
        <w:pStyle w:val="1"/>
        <w:rPr>
          <w:caps w:val="0"/>
          <w:sz w:val="24"/>
        </w:rPr>
      </w:pPr>
      <w:bookmarkStart w:id="3" w:name="_Toc180138165"/>
      <w:r w:rsidRPr="009217EF">
        <w:rPr>
          <w:caps w:val="0"/>
          <w:sz w:val="24"/>
        </w:rPr>
        <w:t xml:space="preserve">(РИИ </w:t>
      </w:r>
      <w:r>
        <w:rPr>
          <w:caps w:val="0"/>
          <w:sz w:val="24"/>
        </w:rPr>
        <w:t>МОСКОВСКОЙ БИРЖИ</w:t>
      </w:r>
      <w:r w:rsidRPr="009217EF">
        <w:rPr>
          <w:caps w:val="0"/>
          <w:sz w:val="24"/>
        </w:rPr>
        <w:t>)</w:t>
      </w:r>
      <w:bookmarkEnd w:id="2"/>
      <w:bookmarkEnd w:id="3"/>
    </w:p>
    <w:p w:rsidR="003E5672" w:rsidRPr="00E8734F" w:rsidRDefault="003E5672" w:rsidP="003E5672">
      <w:pPr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Цель настоящей Декларации — предоставить вам информацию об основных рисках, связанных с инвестированием в инновационные и быстрорастущие компании малого и среднего бизнеса, торгуемые в секторе РИИ Московской Биржи.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Операции с ценными бумагами, допущенные к торгам на Рынке Инноваций и Инвестиций Московской Биржи, характеризуются повышенной степенью риска, поскольку в этот список могут быть включены акции компаний небольшой капитализации, которые впервые размещаются путем открытой подписки, осуществляемой через фондовую биржу или с привлечением брокера, оказывающего услуги по их размещению, либо впервые предлагаются к публичному обращению через фондовую биржу или с привлечением брокера для совершения Сделок, направленных на отчуждение акций, также могут быть включены акции молодых, растущих компаний, так как при включении акций в этот список эмитентам не предъявляется требование по сроку существования.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К специфическим рискам инвестирования в данные ценные бумаги относятся:</w:t>
      </w:r>
    </w:p>
    <w:p w:rsidR="003E5672" w:rsidRPr="00E8734F" w:rsidRDefault="003E5672" w:rsidP="003E5672">
      <w:pPr>
        <w:numPr>
          <w:ilvl w:val="0"/>
          <w:numId w:val="11"/>
        </w:numPr>
        <w:ind w:left="0" w:firstLine="567"/>
        <w:jc w:val="both"/>
        <w:rPr>
          <w:sz w:val="20"/>
          <w:szCs w:val="20"/>
        </w:rPr>
      </w:pPr>
      <w:r w:rsidRPr="00E8734F">
        <w:rPr>
          <w:sz w:val="20"/>
          <w:szCs w:val="20"/>
        </w:rPr>
        <w:noBreakHyphen/>
        <w:t xml:space="preserve">отраслевой риск – связан с неблагоприятным функционированием определенной отрасли, к которой относится эмитент, что непосредственно сказывается на стоимости его ценных бумаг; </w:t>
      </w:r>
    </w:p>
    <w:p w:rsidR="003E5672" w:rsidRPr="00E8734F" w:rsidRDefault="003E5672" w:rsidP="003E5672">
      <w:pPr>
        <w:numPr>
          <w:ilvl w:val="0"/>
          <w:numId w:val="11"/>
        </w:numPr>
        <w:ind w:left="0" w:firstLine="567"/>
        <w:jc w:val="both"/>
        <w:rPr>
          <w:sz w:val="20"/>
          <w:szCs w:val="20"/>
        </w:rPr>
      </w:pPr>
      <w:r w:rsidRPr="00E8734F">
        <w:rPr>
          <w:sz w:val="20"/>
          <w:szCs w:val="20"/>
        </w:rPr>
        <w:noBreakHyphen/>
        <w:t>риски, связанные со становлением бизнеса, – обусловлены возникновением тех или иных внутренних проблем в процессе роста компании, что также отражается на стоимости ее ценных бумаг;</w:t>
      </w:r>
    </w:p>
    <w:p w:rsidR="003E5672" w:rsidRPr="00E8734F" w:rsidRDefault="003E5672" w:rsidP="003E5672">
      <w:pPr>
        <w:numPr>
          <w:ilvl w:val="0"/>
          <w:numId w:val="11"/>
        </w:numPr>
        <w:ind w:left="0" w:firstLine="567"/>
        <w:jc w:val="both"/>
        <w:rPr>
          <w:sz w:val="20"/>
          <w:szCs w:val="20"/>
        </w:rPr>
      </w:pPr>
      <w:r w:rsidRPr="00E8734F">
        <w:rPr>
          <w:sz w:val="20"/>
          <w:szCs w:val="20"/>
        </w:rPr>
        <w:noBreakHyphen/>
        <w:t>риск ликвидности – заключается в изменении оценки инвестиционной привлекательности ценных бумаг в сторону уменьшения, вплоть до потери ликвидности, в результате чего становится невозможным реализовать ценные бумаги в нужное время по желаемой цене;</w:t>
      </w:r>
    </w:p>
    <w:p w:rsidR="003E5672" w:rsidRPr="00E8734F" w:rsidRDefault="003E5672" w:rsidP="003E5672">
      <w:pPr>
        <w:numPr>
          <w:ilvl w:val="0"/>
          <w:numId w:val="11"/>
        </w:numPr>
        <w:ind w:left="0" w:firstLine="567"/>
        <w:jc w:val="both"/>
        <w:rPr>
          <w:sz w:val="20"/>
          <w:szCs w:val="20"/>
        </w:rPr>
      </w:pPr>
      <w:r w:rsidRPr="00E8734F">
        <w:rPr>
          <w:sz w:val="20"/>
          <w:szCs w:val="20"/>
        </w:rPr>
        <w:noBreakHyphen/>
        <w:t>инвестиционный риск – снижение доходности инвестиций в результате изменения рыночной конъюнктуры;</w:t>
      </w:r>
    </w:p>
    <w:p w:rsidR="003E5672" w:rsidRPr="00E8734F" w:rsidRDefault="003E5672" w:rsidP="003E5672">
      <w:pPr>
        <w:numPr>
          <w:ilvl w:val="0"/>
          <w:numId w:val="11"/>
        </w:numPr>
        <w:ind w:left="0" w:firstLine="567"/>
        <w:jc w:val="both"/>
        <w:rPr>
          <w:sz w:val="20"/>
          <w:szCs w:val="20"/>
        </w:rPr>
      </w:pPr>
      <w:r w:rsidRPr="00E8734F">
        <w:rPr>
          <w:sz w:val="20"/>
          <w:szCs w:val="20"/>
        </w:rPr>
        <w:noBreakHyphen/>
        <w:t>риск потери стоимости основных вложений – обусловлен наступлением событий, которые влекут за собой полную потерю инвестируемых средств.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Инвестиционная деятельность с ценными бумагами, торгуемых на РИИ Московской Биржи, отличается повышенной степенью риска, поскольку предполагает включение в указанный список ценных бумаг новых, небольших компаний, в т.ч. на начальном этапе функционирования, а также компаний, использующих в своей деятельности специфические технологии, научные исследования и пр. Инвестирование в ценные бумаги указанных эмитентов несет в себе не только риск инвестиций в ценные бумаги, но и риск инвестирования на начальном этапе становления проекта и риск специфической деятельности компании. Совершение Сделок с данными ценными бумагами может привести к потере не только ожидаемого дохода от инвестируемых средств, но и к потерям инвестируемых средств.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numPr>
          <w:ilvl w:val="0"/>
          <w:numId w:val="10"/>
        </w:num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Риск увеличения затрат на исследование.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 силу того, что компании, ценные бумаги которых торгуются на РИИ Московской Биржи, работают в «нестандартных» секторах экономики, что сопряжено с недостатком информационно-аналитического материала, а также схем и методов анализа таких компаний, будет достаточно сложно сделать глубокую профессиональную оценку таких компаний и определить перспективы их развития, либо это может сопровождаться увеличением затрат на такое исследование. Отсутствие такой оценки может вызвать затруднения при выборе компании для инвестирования своих активов.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numPr>
          <w:ilvl w:val="0"/>
          <w:numId w:val="10"/>
        </w:num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Риск, связанный с оценкой инвестиционного проекта компании.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Одной из целей выхода на фондовой рынок данных компаний может быть привлечение дополнительных средств под какой-либо инвестиционный проект, реализация которого будет способствовать росту капитализации. Однако в силу специфики развития некоторых секторов экономики, в которых осуществляют свою деятельность данные компании, может сложиться ситуация, при которой сложно будет сформировать профессиональную оценку предлагаемого компанией инвестиционного проекта.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numPr>
          <w:ilvl w:val="0"/>
          <w:numId w:val="10"/>
        </w:numPr>
        <w:jc w:val="both"/>
        <w:rPr>
          <w:sz w:val="20"/>
          <w:szCs w:val="20"/>
        </w:rPr>
      </w:pPr>
      <w:r w:rsidRPr="00E8734F">
        <w:rPr>
          <w:b/>
          <w:sz w:val="20"/>
          <w:szCs w:val="20"/>
        </w:rPr>
        <w:t>Политические, финансово-экономические, правовые риски.</w:t>
      </w:r>
      <w:r w:rsidRPr="00E8734F">
        <w:rPr>
          <w:sz w:val="20"/>
          <w:szCs w:val="20"/>
        </w:rPr>
        <w:t xml:space="preserve"> 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Небольшие и малые компании чутко реагируют на внешние факторы, такие как экономические, политические, правовые. Данные компании обладают сравнительно меньшими ресурсами, и, как следствие, меньшей устойчивостью в случае изменения политической, финансово-экономической, правовой ситуации в стране.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numPr>
          <w:ilvl w:val="0"/>
          <w:numId w:val="10"/>
        </w:num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Риск инновационного решения.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Многие компании, ценные бумаги которых относятся к РИИ Московской Биржи, входят в т.н. инновационный сектор экономики. Это связано с тем, что такие компании стараются осваивать и внедрять новые методы и технологии введения бизнеса, призванные способствовать ее росту и увеличению капитализации. Тем не менее, не всегда инновационные решения дают желаемый положительный результат. Недостаточная эффективность такого решения может привести к потере времени и инвестированных на внедрение данного решения средств, что негативным образом отразится на финансовом положении компании и стоимости ее акций.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numPr>
          <w:ilvl w:val="0"/>
          <w:numId w:val="10"/>
        </w:numPr>
        <w:jc w:val="both"/>
        <w:rPr>
          <w:sz w:val="20"/>
          <w:szCs w:val="20"/>
        </w:rPr>
      </w:pPr>
      <w:r w:rsidRPr="00E8734F">
        <w:rPr>
          <w:b/>
          <w:sz w:val="20"/>
          <w:szCs w:val="20"/>
        </w:rPr>
        <w:lastRenderedPageBreak/>
        <w:t>Риск низкой ликвидности.</w:t>
      </w:r>
      <w:r w:rsidRPr="00E8734F">
        <w:rPr>
          <w:sz w:val="20"/>
          <w:szCs w:val="20"/>
        </w:rPr>
        <w:t xml:space="preserve"> 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 силу своей низкой ликвидности данные ценные бумаги могут иметь большой спрэд. Это означает, что даже правильный прогноз относительно перспектив роста таких активов далеко не всегда позволяет получить прибыль в конкретный момент времени.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Большой спрэд также существенно затрудняет применение лимитных стоп-ордеров, выставляемых для ограничения масштабов потерь при открытии позиции — стоп-лоссов. В целях избежания серьезных потерь стоимости актива Вам придется постоянного отслеживать ситуацию на фондовом рынке и занять активную позицию при управлении своим портфелем.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Вследствие разнообразия ситуаций, возникающих на рынке ценных бумаг, перечень рисков в настоящей Декларации не является исчерпывающим и не раскрывает информации обо всех рисках, связанных с инвестированием в ценные бумаги, относящиеся к РИИ Московской Биржи. Декларация призвана помочь Клиенту понять риски, связанные с инвестированием в данные ценные бумаги, определить их приемлемость для себя, реально оценить свои финансовые цели и возможности.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Операции с ценными бумагами относятся к операциям с ограниченной ответственностью, т.е. степень ответственности Клиента по убыткам ограничивается суммой, выделяемой Клиентом для операций с ценными бумагами. Однако такой убыток при определенных обстоятельствах может наступить по прошествии сравнительно короткого времени.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Учитывая вышеизложенное, мы рекомендуем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Данная Декларация не имеет своей целью заставить вас отказаться от осуществления таких операций,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брокером.</w:t>
      </w: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Убедитесь, что настоящая Декларация о рисках понятна вам, и при необходимости получите разъяснения у Брокера </w:t>
      </w:r>
      <w:r>
        <w:rPr>
          <w:sz w:val="20"/>
        </w:rPr>
        <w:t>ООО «АВС Капитал</w:t>
      </w:r>
      <w:r w:rsidRPr="000F2F75">
        <w:rPr>
          <w:sz w:val="20"/>
        </w:rPr>
        <w:t>»</w:t>
      </w:r>
      <w:r>
        <w:rPr>
          <w:sz w:val="20"/>
        </w:rPr>
        <w:t xml:space="preserve"> </w:t>
      </w:r>
      <w:r w:rsidRPr="00E8734F">
        <w:rPr>
          <w:sz w:val="20"/>
          <w:szCs w:val="20"/>
        </w:rPr>
        <w:t>или консультанта, специализирующегося на соответствующих вопросах.</w:t>
      </w:r>
    </w:p>
    <w:p w:rsidR="003E5672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ind w:firstLine="709"/>
        <w:jc w:val="both"/>
        <w:rPr>
          <w:sz w:val="20"/>
          <w:szCs w:val="20"/>
        </w:rPr>
      </w:pPr>
    </w:p>
    <w:p w:rsidR="003E5672" w:rsidRPr="00E8734F" w:rsidRDefault="003E5672" w:rsidP="003E5672">
      <w:pPr>
        <w:rPr>
          <w:i/>
          <w:sz w:val="20"/>
        </w:rPr>
      </w:pPr>
      <w:r w:rsidRPr="00E8734F">
        <w:rPr>
          <w:i/>
          <w:sz w:val="20"/>
        </w:rPr>
        <w:t>Уведомление составлено в двух подлинных экземплярах, имеющих одинаковую юридическую силу, один из которых находится у Клиента, другой у Брокера.</w:t>
      </w:r>
    </w:p>
    <w:p w:rsidR="003E5672" w:rsidRPr="00E8734F" w:rsidRDefault="003E5672" w:rsidP="003E5672">
      <w:pPr>
        <w:rPr>
          <w:i/>
          <w:sz w:val="20"/>
        </w:rPr>
      </w:pPr>
    </w:p>
    <w:p w:rsidR="003E5672" w:rsidRPr="00E8734F" w:rsidRDefault="003E5672" w:rsidP="003E5672">
      <w:pPr>
        <w:rPr>
          <w:i/>
          <w:sz w:val="20"/>
        </w:rPr>
      </w:pPr>
    </w:p>
    <w:p w:rsidR="003E5672" w:rsidRPr="00E8734F" w:rsidRDefault="003E5672" w:rsidP="003E5672">
      <w:pPr>
        <w:rPr>
          <w:i/>
          <w:sz w:val="20"/>
        </w:rPr>
      </w:pPr>
      <w:r w:rsidRPr="00E8734F">
        <w:rPr>
          <w:i/>
          <w:sz w:val="20"/>
        </w:rPr>
        <w:t>Клиент:</w:t>
      </w:r>
      <w:r w:rsidRPr="00E8734F">
        <w:rPr>
          <w:i/>
          <w:sz w:val="20"/>
        </w:rPr>
        <w:tab/>
      </w:r>
    </w:p>
    <w:p w:rsidR="003E5672" w:rsidRPr="00E8734F" w:rsidRDefault="003E5672" w:rsidP="003E5672">
      <w:pPr>
        <w:jc w:val="right"/>
        <w:rPr>
          <w:i/>
          <w:sz w:val="20"/>
        </w:rPr>
      </w:pPr>
      <w:r w:rsidRPr="00E8734F">
        <w:rPr>
          <w:i/>
          <w:sz w:val="20"/>
        </w:rPr>
        <w:t>Подпись _____________________ / ________________/</w:t>
      </w:r>
    </w:p>
    <w:p w:rsidR="003E5672" w:rsidRPr="00E8734F" w:rsidRDefault="003E5672" w:rsidP="003E5672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                                                                               Ф.И.О. </w:t>
      </w:r>
    </w:p>
    <w:p w:rsidR="003E5672" w:rsidRPr="00E8734F" w:rsidRDefault="003E5672" w:rsidP="003E5672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м.п.                                   </w:t>
      </w:r>
      <w:r w:rsidRPr="00E8734F">
        <w:rPr>
          <w:i/>
          <w:sz w:val="20"/>
        </w:rPr>
        <w:tab/>
        <w:t>«_____»</w:t>
      </w:r>
      <w:r>
        <w:rPr>
          <w:i/>
          <w:sz w:val="20"/>
        </w:rPr>
        <w:t xml:space="preserve"> </w:t>
      </w:r>
      <w:r w:rsidRPr="00E8734F">
        <w:rPr>
          <w:i/>
          <w:sz w:val="20"/>
        </w:rPr>
        <w:t>______________20___г.</w:t>
      </w:r>
    </w:p>
    <w:p w:rsidR="003E5672" w:rsidRPr="003207AF" w:rsidRDefault="003E5672" w:rsidP="003E5672">
      <w:pPr>
        <w:jc w:val="right"/>
        <w:rPr>
          <w:i/>
          <w:sz w:val="16"/>
          <w:szCs w:val="16"/>
        </w:rPr>
      </w:pPr>
      <w:r w:rsidRPr="003207AF">
        <w:rPr>
          <w:i/>
          <w:sz w:val="16"/>
          <w:szCs w:val="16"/>
        </w:rPr>
        <w:t>(дата ознакомления с Декларацией)</w:t>
      </w:r>
    </w:p>
    <w:p w:rsidR="003E5672" w:rsidRPr="00E8734F" w:rsidRDefault="003E5672" w:rsidP="003E5672">
      <w:pPr>
        <w:jc w:val="center"/>
        <w:rPr>
          <w:b/>
          <w:bCs/>
          <w:sz w:val="18"/>
          <w:szCs w:val="18"/>
        </w:rPr>
      </w:pPr>
    </w:p>
    <w:p w:rsidR="002E676B" w:rsidRPr="003E5672" w:rsidRDefault="002E676B" w:rsidP="003E5672">
      <w:bookmarkStart w:id="4" w:name="_GoBack"/>
      <w:bookmarkEnd w:id="4"/>
    </w:p>
    <w:sectPr w:rsidR="002E676B" w:rsidRPr="003E5672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2E676B"/>
    <w:rsid w:val="003E5672"/>
    <w:rsid w:val="004B6BA7"/>
    <w:rsid w:val="00602D7F"/>
    <w:rsid w:val="007300F2"/>
    <w:rsid w:val="009A7D14"/>
    <w:rsid w:val="00B00322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2024-10-25T07:00:00Z</dcterms:created>
  <dcterms:modified xsi:type="dcterms:W3CDTF">2024-10-25T07:00:00Z</dcterms:modified>
</cp:coreProperties>
</file>