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059" w:rsidRPr="00A85286" w:rsidRDefault="00760059" w:rsidP="00760059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204"/>
      <w:r w:rsidRPr="00A85286">
        <w:rPr>
          <w:b w:val="0"/>
          <w:i/>
          <w:caps w:val="0"/>
          <w:smallCaps/>
          <w:sz w:val="20"/>
          <w:szCs w:val="20"/>
        </w:rPr>
        <w:t>Приложение № 11</w:t>
      </w:r>
      <w:bookmarkEnd w:id="0"/>
    </w:p>
    <w:p w:rsidR="00760059" w:rsidRPr="00273901" w:rsidRDefault="00760059" w:rsidP="00760059">
      <w:pPr>
        <w:pStyle w:val="21"/>
        <w:numPr>
          <w:ilvl w:val="1"/>
          <w:numId w:val="0"/>
        </w:numPr>
        <w:tabs>
          <w:tab w:val="num" w:pos="360"/>
        </w:tabs>
        <w:jc w:val="center"/>
        <w:rPr>
          <w:b/>
          <w:bCs/>
          <w:sz w:val="20"/>
        </w:rPr>
      </w:pPr>
    </w:p>
    <w:p w:rsidR="00760059" w:rsidRPr="00E926C2" w:rsidRDefault="00760059" w:rsidP="00760059">
      <w:pPr>
        <w:pStyle w:val="1"/>
        <w:rPr>
          <w:caps w:val="0"/>
          <w:sz w:val="24"/>
        </w:rPr>
      </w:pPr>
      <w:bookmarkStart w:id="1" w:name="_Toc180138205"/>
      <w:r w:rsidRPr="00E926C2">
        <w:rPr>
          <w:caps w:val="0"/>
          <w:sz w:val="24"/>
        </w:rPr>
        <w:t>ПОРЯДОК ПОДАЧИ ПОРУЧЕНИЙ С ИСПОЛЬЗОВАНИЕМ ТЕЛЕФОННОЙ СВЯЗИ.</w:t>
      </w:r>
      <w:bookmarkEnd w:id="1"/>
    </w:p>
    <w:p w:rsidR="00760059" w:rsidRPr="00273901" w:rsidRDefault="00760059" w:rsidP="00760059">
      <w:pPr>
        <w:jc w:val="both"/>
        <w:rPr>
          <w:sz w:val="28"/>
        </w:rPr>
      </w:pPr>
    </w:p>
    <w:p w:rsidR="00760059" w:rsidRPr="00273901" w:rsidRDefault="00760059" w:rsidP="00760059">
      <w:pPr>
        <w:pStyle w:val="a3"/>
        <w:tabs>
          <w:tab w:val="left" w:pos="1134"/>
        </w:tabs>
        <w:ind w:firstLine="708"/>
      </w:pPr>
      <w:r w:rsidRPr="00273901">
        <w:t>При обращении Клиента к Брокеру по телефону, с целью выставления поручения на торги, процесс общения Клиента с сотрудником Брокера должен происходить по следующему алгоритму.</w:t>
      </w:r>
    </w:p>
    <w:p w:rsidR="00760059" w:rsidRPr="00D844D9" w:rsidRDefault="00760059" w:rsidP="00760059">
      <w:pPr>
        <w:numPr>
          <w:ilvl w:val="0"/>
          <w:numId w:val="24"/>
        </w:numPr>
        <w:tabs>
          <w:tab w:val="num" w:pos="360"/>
          <w:tab w:val="left" w:pos="1134"/>
        </w:tabs>
        <w:ind w:left="0" w:firstLine="708"/>
        <w:jc w:val="both"/>
        <w:rPr>
          <w:sz w:val="22"/>
        </w:rPr>
      </w:pPr>
      <w:r w:rsidRPr="00273901">
        <w:rPr>
          <w:sz w:val="22"/>
        </w:rPr>
        <w:t>Клиента, после соединения с сотрудником и высказывания желания выставить п</w:t>
      </w:r>
      <w:r w:rsidRPr="00D844D9">
        <w:rPr>
          <w:sz w:val="22"/>
        </w:rPr>
        <w:t>оручение называет: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наименование и уникальный код Клиента;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 xml:space="preserve">номер договора </w:t>
      </w:r>
      <w:r>
        <w:rPr>
          <w:sz w:val="22"/>
        </w:rPr>
        <w:t>о брокерском обслуживании</w:t>
      </w:r>
      <w:r w:rsidRPr="00D844D9">
        <w:rPr>
          <w:sz w:val="22"/>
        </w:rPr>
        <w:t>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лицевой счет для ТС, в которой предполагается исполнение Поручения.</w:t>
      </w:r>
    </w:p>
    <w:p w:rsidR="00760059" w:rsidRPr="00D844D9" w:rsidRDefault="00760059" w:rsidP="00760059">
      <w:pPr>
        <w:numPr>
          <w:ilvl w:val="0"/>
          <w:numId w:val="24"/>
        </w:numPr>
        <w:tabs>
          <w:tab w:val="num" w:pos="36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Сотрудник Брокера просит Клиента назвать кодовое слово (необходимость определяется в индивидуальном порядке).</w:t>
      </w:r>
    </w:p>
    <w:p w:rsidR="00760059" w:rsidRPr="00D844D9" w:rsidRDefault="00760059" w:rsidP="00760059">
      <w:pPr>
        <w:numPr>
          <w:ilvl w:val="0"/>
          <w:numId w:val="24"/>
        </w:numPr>
        <w:tabs>
          <w:tab w:val="num" w:pos="36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Клиент называет свое кодовое слово, указанное в Анкете Клиента. В случае, если кодовое слово названо не верно, сотрудник Брокера сообщает об этом клиенту и прерывает прием поручения.</w:t>
      </w:r>
    </w:p>
    <w:p w:rsidR="00760059" w:rsidRPr="00D844D9" w:rsidRDefault="00760059" w:rsidP="00760059">
      <w:pPr>
        <w:numPr>
          <w:ilvl w:val="0"/>
          <w:numId w:val="24"/>
        </w:numPr>
        <w:tabs>
          <w:tab w:val="num" w:pos="36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 xml:space="preserve">Сотрудник Брокера проверяет возможность совершения Клиентом операции, и в случае, если Клиент не может совершать операции, сообщает ему об этом и прерывает прием поручения. </w:t>
      </w:r>
    </w:p>
    <w:p w:rsidR="00760059" w:rsidRPr="00D844D9" w:rsidRDefault="00760059" w:rsidP="00760059">
      <w:pPr>
        <w:numPr>
          <w:ilvl w:val="0"/>
          <w:numId w:val="24"/>
        </w:numPr>
        <w:tabs>
          <w:tab w:val="clear" w:pos="705"/>
          <w:tab w:val="num" w:pos="36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Сотрудник Брокера запрашивает у клиента параметры поручения.</w:t>
      </w:r>
    </w:p>
    <w:p w:rsidR="00760059" w:rsidRPr="00D844D9" w:rsidRDefault="00760059" w:rsidP="00760059">
      <w:pPr>
        <w:numPr>
          <w:ilvl w:val="0"/>
          <w:numId w:val="24"/>
        </w:numPr>
        <w:tabs>
          <w:tab w:val="clear" w:pos="705"/>
          <w:tab w:val="num" w:pos="36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Клиент называет параметры поручения, а именно:</w:t>
      </w:r>
    </w:p>
    <w:p w:rsidR="00760059" w:rsidRPr="00D844D9" w:rsidRDefault="00760059" w:rsidP="00760059">
      <w:pPr>
        <w:tabs>
          <w:tab w:val="left" w:pos="1134"/>
        </w:tabs>
        <w:ind w:left="708"/>
        <w:jc w:val="both"/>
        <w:rPr>
          <w:i/>
          <w:sz w:val="22"/>
          <w:lang w:val="en-US"/>
        </w:rPr>
      </w:pPr>
      <w:r w:rsidRPr="00D844D9">
        <w:rPr>
          <w:i/>
          <w:sz w:val="22"/>
        </w:rPr>
        <w:t>на  рынке ценных бумаг</w:t>
      </w:r>
      <w:r>
        <w:rPr>
          <w:i/>
          <w:sz w:val="22"/>
        </w:rPr>
        <w:t>: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вид Поручения;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вид сделки (покупка / продажа);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наименование эмитента Ценных бумаг (вид, тип Ценных бумаг, номер выпуска, иная информация, однозначно идентифицирующая Ценные бумаги);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количество Ценных бумаг;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цена исполнения Поручения или однозначные условия ее определения;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срок действия Поручения;</w:t>
      </w:r>
    </w:p>
    <w:p w:rsidR="00760059" w:rsidRPr="00D844D9" w:rsidRDefault="00760059" w:rsidP="00760059">
      <w:pPr>
        <w:tabs>
          <w:tab w:val="left" w:pos="1134"/>
        </w:tabs>
        <w:ind w:left="708"/>
        <w:jc w:val="both"/>
        <w:rPr>
          <w:i/>
          <w:sz w:val="22"/>
          <w:lang w:val="en-US"/>
        </w:rPr>
      </w:pPr>
      <w:r w:rsidRPr="00D844D9">
        <w:rPr>
          <w:i/>
          <w:sz w:val="22"/>
        </w:rPr>
        <w:t>на  валютном рынке</w:t>
      </w:r>
      <w:r>
        <w:rPr>
          <w:i/>
          <w:sz w:val="22"/>
        </w:rPr>
        <w:t>: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вид Поручения;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тип Поручения;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>
        <w:rPr>
          <w:sz w:val="22"/>
        </w:rPr>
        <w:t>место исполнения Поручения - П</w:t>
      </w:r>
      <w:r w:rsidRPr="00D844D9">
        <w:rPr>
          <w:sz w:val="22"/>
        </w:rPr>
        <w:t>АО Московская Биржа (Валютный рынок);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вид сделки (покупка/продажа, СВОП);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наименование (обозначение) инструмента, принятое в ТС (например, USDRUB_TOM);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количество (кратное лоту);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курс по инструменту;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 xml:space="preserve">длительность сделки СВОП; </w:t>
      </w:r>
    </w:p>
    <w:p w:rsidR="00760059" w:rsidRPr="00D844D9" w:rsidRDefault="00760059" w:rsidP="00760059">
      <w:pPr>
        <w:numPr>
          <w:ilvl w:val="0"/>
          <w:numId w:val="23"/>
        </w:numPr>
        <w:tabs>
          <w:tab w:val="clear" w:pos="360"/>
          <w:tab w:val="num" w:pos="108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срок действия Поручения;</w:t>
      </w:r>
    </w:p>
    <w:p w:rsidR="00760059" w:rsidRPr="00D844D9" w:rsidRDefault="00760059" w:rsidP="00760059">
      <w:pPr>
        <w:numPr>
          <w:ilvl w:val="0"/>
          <w:numId w:val="24"/>
        </w:numPr>
        <w:tabs>
          <w:tab w:val="clear" w:pos="705"/>
          <w:tab w:val="num" w:pos="36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Сотрудник Брокера, проверив возможность совершения клиентом данной операции, либо сообщает об отказе в принятии поручения с указанием причины отказа, либо повторяет параметры выставляемого Клиентом поручения.</w:t>
      </w:r>
    </w:p>
    <w:p w:rsidR="00760059" w:rsidRPr="00D844D9" w:rsidRDefault="00760059" w:rsidP="00760059">
      <w:pPr>
        <w:numPr>
          <w:ilvl w:val="0"/>
          <w:numId w:val="24"/>
        </w:numPr>
        <w:tabs>
          <w:tab w:val="clear" w:pos="705"/>
          <w:tab w:val="num" w:pos="360"/>
          <w:tab w:val="left" w:pos="1134"/>
        </w:tabs>
        <w:ind w:left="0" w:firstLine="708"/>
        <w:jc w:val="both"/>
        <w:rPr>
          <w:sz w:val="22"/>
        </w:rPr>
      </w:pPr>
      <w:r w:rsidRPr="00D844D9">
        <w:rPr>
          <w:sz w:val="22"/>
        </w:rPr>
        <w:t>Клиент сразу после повтора текста Сообщения (см.п.5) сотрудником Брокера подтверждает поручение путем произнесения любого из следующих слов: “Подтверждаю”, “Согласен”, “Сделка” или иного слова прямо и недвусмысленно подтверждающего согласие. Поручение считается принятым Брокером в момент произнесения подтверждающего слова клиентом.</w:t>
      </w:r>
    </w:p>
    <w:p w:rsidR="00760059" w:rsidRPr="00D844D9" w:rsidRDefault="00760059" w:rsidP="00760059">
      <w:pPr>
        <w:pStyle w:val="a3"/>
        <w:tabs>
          <w:tab w:val="left" w:pos="1134"/>
        </w:tabs>
        <w:ind w:firstLine="708"/>
      </w:pPr>
      <w:r w:rsidRPr="00D844D9">
        <w:t>Принятым будет считаться то поручение с теми параметрами, которые произнес сотрудник Брокера при повторении текста</w:t>
      </w:r>
      <w:r>
        <w:t>,</w:t>
      </w:r>
      <w:r w:rsidRPr="00D844D9">
        <w:t xml:space="preserve"> произнесенного Клиентом. Если параметры поручения неправильно повторены сотрудником Брокера, то Клиент должен прервать сотрудника Брокера и повторить свое поручение заново.</w:t>
      </w:r>
    </w:p>
    <w:p w:rsidR="00760059" w:rsidRPr="00D844D9" w:rsidRDefault="00760059" w:rsidP="00760059">
      <w:pPr>
        <w:pStyle w:val="ad"/>
        <w:spacing w:afterLines="60" w:after="144"/>
        <w:ind w:left="540" w:firstLine="15"/>
        <w:jc w:val="both"/>
        <w:rPr>
          <w:sz w:val="22"/>
        </w:rPr>
      </w:pPr>
    </w:p>
    <w:p w:rsidR="00076B63" w:rsidRPr="00760059" w:rsidRDefault="00076B63" w:rsidP="00760059">
      <w:bookmarkStart w:id="2" w:name="_GoBack"/>
      <w:bookmarkEnd w:id="2"/>
    </w:p>
    <w:sectPr w:rsidR="00076B63" w:rsidRPr="00760059" w:rsidSect="000E0622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30023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4F3531"/>
    <w:multiLevelType w:val="hybridMultilevel"/>
    <w:tmpl w:val="69DA662C"/>
    <w:lvl w:ilvl="0" w:tplc="921CB00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0"/>
  </w:num>
  <w:num w:numId="5">
    <w:abstractNumId w:val="10"/>
  </w:num>
  <w:num w:numId="6">
    <w:abstractNumId w:val="17"/>
  </w:num>
  <w:num w:numId="7">
    <w:abstractNumId w:val="5"/>
  </w:num>
  <w:num w:numId="8">
    <w:abstractNumId w:val="19"/>
  </w:num>
  <w:num w:numId="9">
    <w:abstractNumId w:val="16"/>
  </w:num>
  <w:num w:numId="10">
    <w:abstractNumId w:val="21"/>
  </w:num>
  <w:num w:numId="11">
    <w:abstractNumId w:val="2"/>
  </w:num>
  <w:num w:numId="12">
    <w:abstractNumId w:val="7"/>
  </w:num>
  <w:num w:numId="13">
    <w:abstractNumId w:val="18"/>
  </w:num>
  <w:num w:numId="14">
    <w:abstractNumId w:val="13"/>
  </w:num>
  <w:num w:numId="15">
    <w:abstractNumId w:val="12"/>
  </w:num>
  <w:num w:numId="16">
    <w:abstractNumId w:val="1"/>
  </w:num>
  <w:num w:numId="17">
    <w:abstractNumId w:val="6"/>
  </w:num>
  <w:num w:numId="18">
    <w:abstractNumId w:val="22"/>
  </w:num>
  <w:num w:numId="19">
    <w:abstractNumId w:val="3"/>
  </w:num>
  <w:num w:numId="20">
    <w:abstractNumId w:val="9"/>
  </w:num>
  <w:num w:numId="21">
    <w:abstractNumId w:val="23"/>
  </w:num>
  <w:num w:numId="22">
    <w:abstractNumId w:val="15"/>
  </w:num>
  <w:num w:numId="23">
    <w:abstractNumId w:val="4"/>
  </w:num>
  <w:num w:numId="2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0E0622"/>
    <w:rsid w:val="001411B7"/>
    <w:rsid w:val="002C78A1"/>
    <w:rsid w:val="002E676B"/>
    <w:rsid w:val="003239B6"/>
    <w:rsid w:val="00326E8F"/>
    <w:rsid w:val="00372929"/>
    <w:rsid w:val="003D6BF9"/>
    <w:rsid w:val="003E5672"/>
    <w:rsid w:val="004B6BA7"/>
    <w:rsid w:val="004D192A"/>
    <w:rsid w:val="005457C6"/>
    <w:rsid w:val="00563681"/>
    <w:rsid w:val="00602D7F"/>
    <w:rsid w:val="007300F2"/>
    <w:rsid w:val="00760059"/>
    <w:rsid w:val="00783B3C"/>
    <w:rsid w:val="00950487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76005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600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2024-10-25T07:19:00Z</dcterms:created>
  <dcterms:modified xsi:type="dcterms:W3CDTF">2024-10-25T07:19:00Z</dcterms:modified>
</cp:coreProperties>
</file>