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6BF9" w:rsidRDefault="003D6BF9" w:rsidP="003D6BF9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88"/>
      <w:r w:rsidRPr="00A85286">
        <w:rPr>
          <w:b w:val="0"/>
          <w:i/>
          <w:caps w:val="0"/>
          <w:smallCaps/>
          <w:sz w:val="20"/>
          <w:szCs w:val="20"/>
        </w:rPr>
        <w:t>Приложение № 6</w:t>
      </w:r>
      <w:bookmarkEnd w:id="0"/>
    </w:p>
    <w:p w:rsidR="003D6BF9" w:rsidRPr="00E66A57" w:rsidRDefault="003D6BF9" w:rsidP="003D6BF9"/>
    <w:p w:rsidR="003D6BF9" w:rsidRPr="00B77B2C" w:rsidRDefault="003D6BF9" w:rsidP="003D6BF9">
      <w:pPr>
        <w:pStyle w:val="1"/>
        <w:rPr>
          <w:caps w:val="0"/>
          <w:sz w:val="24"/>
        </w:rPr>
      </w:pPr>
      <w:bookmarkStart w:id="1" w:name="_Toc180138189"/>
      <w:r>
        <w:rPr>
          <w:caps w:val="0"/>
          <w:sz w:val="24"/>
        </w:rPr>
        <w:t>ОБЕСПЕЧЕНИЕ ИСПОЛНЕНИЯ</w:t>
      </w:r>
      <w:r w:rsidRPr="00B77B2C">
        <w:rPr>
          <w:caps w:val="0"/>
          <w:sz w:val="24"/>
        </w:rPr>
        <w:t xml:space="preserve"> </w:t>
      </w:r>
      <w:r>
        <w:rPr>
          <w:caps w:val="0"/>
          <w:sz w:val="24"/>
        </w:rPr>
        <w:t>ОБЯЗАТЕЛЬСТВ КЛИЕНТА</w:t>
      </w:r>
      <w:bookmarkEnd w:id="1"/>
    </w:p>
    <w:p w:rsidR="003D6BF9" w:rsidRPr="008903A5" w:rsidRDefault="003D6BF9" w:rsidP="003D6BF9">
      <w:pPr>
        <w:rPr>
          <w:sz w:val="20"/>
          <w:szCs w:val="20"/>
        </w:rPr>
      </w:pPr>
    </w:p>
    <w:p w:rsidR="003D6BF9" w:rsidRPr="008903A5" w:rsidRDefault="003D6BF9" w:rsidP="003D6BF9">
      <w:pPr>
        <w:pStyle w:val="a3"/>
        <w:numPr>
          <w:ilvl w:val="1"/>
          <w:numId w:val="21"/>
        </w:numPr>
        <w:tabs>
          <w:tab w:val="clear" w:pos="1364"/>
          <w:tab w:val="num" w:pos="1080"/>
        </w:tabs>
        <w:spacing w:after="60"/>
        <w:ind w:left="0" w:firstLine="720"/>
        <w:rPr>
          <w:sz w:val="20"/>
          <w:szCs w:val="20"/>
        </w:rPr>
      </w:pPr>
      <w:r w:rsidRPr="008903A5">
        <w:rPr>
          <w:sz w:val="20"/>
          <w:szCs w:val="20"/>
        </w:rPr>
        <w:t>Если иное отдельно не предусмотрено Регламентом, Брокер вправе списывать в безакцептном порядке с Инвестиционного счета Клиента денежные средства в размере, необходимом для исполнения обязательств Клиента перед Брокером.</w:t>
      </w:r>
    </w:p>
    <w:p w:rsidR="003D6BF9" w:rsidRPr="008903A5" w:rsidRDefault="003D6BF9" w:rsidP="003D6BF9">
      <w:pPr>
        <w:pStyle w:val="a3"/>
        <w:numPr>
          <w:ilvl w:val="1"/>
          <w:numId w:val="21"/>
        </w:numPr>
        <w:tabs>
          <w:tab w:val="clear" w:pos="1364"/>
          <w:tab w:val="num" w:pos="1080"/>
        </w:tabs>
        <w:spacing w:after="60"/>
        <w:ind w:left="0" w:firstLine="720"/>
        <w:rPr>
          <w:sz w:val="20"/>
          <w:szCs w:val="20"/>
        </w:rPr>
      </w:pPr>
      <w:bookmarkStart w:id="2" w:name="_Ref37166796"/>
      <w:r w:rsidRPr="008903A5">
        <w:rPr>
          <w:sz w:val="20"/>
          <w:szCs w:val="20"/>
        </w:rPr>
        <w:t>При отсутствии на Инвестиционном счете Клиента денежных средств, в размере, достаточном для исполнения вышеуказанных обязательств, и в случае неисполнения или ненадлежащего исполнения таких обязательств в указанный Брокером срок, Брокер вправе реализовать (продать) Ценные бумаги и/или закрыть Открытые позиции по Срочным контрактам Клиента.</w:t>
      </w:r>
      <w:bookmarkEnd w:id="2"/>
    </w:p>
    <w:p w:rsidR="003D6BF9" w:rsidRPr="008903A5" w:rsidRDefault="003D6BF9" w:rsidP="003D6BF9">
      <w:pPr>
        <w:pStyle w:val="a3"/>
        <w:numPr>
          <w:ilvl w:val="1"/>
          <w:numId w:val="21"/>
        </w:numPr>
        <w:tabs>
          <w:tab w:val="clear" w:pos="1364"/>
          <w:tab w:val="num" w:pos="1080"/>
        </w:tabs>
        <w:spacing w:after="60"/>
        <w:ind w:left="0" w:firstLine="720"/>
        <w:rPr>
          <w:sz w:val="20"/>
          <w:szCs w:val="20"/>
        </w:rPr>
      </w:pPr>
      <w:r w:rsidRPr="008903A5">
        <w:rPr>
          <w:sz w:val="20"/>
          <w:szCs w:val="20"/>
        </w:rPr>
        <w:t xml:space="preserve">Брокер вправе продать любые Ценные Бумаги Клиента, находящихся на Инвестиционном счете, права на которые учитываются на счете депо Клиента в депозитарии, в случаях, предусмотренных п. </w:t>
      </w:r>
      <w:r w:rsidRPr="008903A5">
        <w:rPr>
          <w:sz w:val="20"/>
          <w:szCs w:val="20"/>
        </w:rPr>
        <w:fldChar w:fldCharType="begin"/>
      </w:r>
      <w:r w:rsidRPr="008903A5">
        <w:rPr>
          <w:sz w:val="20"/>
          <w:szCs w:val="20"/>
        </w:rPr>
        <w:instrText xml:space="preserve"> REF _Ref37166796 \r \h  \* MERGEFORMAT </w:instrText>
      </w:r>
      <w:r w:rsidRPr="008903A5">
        <w:rPr>
          <w:sz w:val="20"/>
          <w:szCs w:val="20"/>
        </w:rPr>
      </w:r>
      <w:r w:rsidRPr="008903A5">
        <w:rPr>
          <w:sz w:val="20"/>
          <w:szCs w:val="20"/>
        </w:rPr>
        <w:fldChar w:fldCharType="separate"/>
      </w:r>
      <w:r>
        <w:rPr>
          <w:sz w:val="20"/>
          <w:szCs w:val="20"/>
        </w:rPr>
        <w:t>2</w:t>
      </w:r>
      <w:r w:rsidRPr="008903A5">
        <w:rPr>
          <w:sz w:val="20"/>
          <w:szCs w:val="20"/>
        </w:rPr>
        <w:fldChar w:fldCharType="end"/>
      </w:r>
      <w:r w:rsidRPr="008903A5">
        <w:rPr>
          <w:sz w:val="20"/>
          <w:szCs w:val="20"/>
        </w:rPr>
        <w:t xml:space="preserve"> настоящего Приложения к Регламенту.</w:t>
      </w:r>
    </w:p>
    <w:p w:rsidR="003D6BF9" w:rsidRPr="008903A5" w:rsidRDefault="003D6BF9" w:rsidP="003D6BF9">
      <w:pPr>
        <w:pStyle w:val="a3"/>
        <w:numPr>
          <w:ilvl w:val="1"/>
          <w:numId w:val="21"/>
        </w:numPr>
        <w:tabs>
          <w:tab w:val="clear" w:pos="1364"/>
          <w:tab w:val="num" w:pos="1080"/>
        </w:tabs>
        <w:spacing w:after="60"/>
        <w:ind w:left="0" w:firstLine="720"/>
        <w:rPr>
          <w:sz w:val="20"/>
          <w:szCs w:val="20"/>
        </w:rPr>
      </w:pPr>
      <w:r w:rsidRPr="008903A5">
        <w:rPr>
          <w:sz w:val="20"/>
          <w:szCs w:val="20"/>
        </w:rPr>
        <w:t>Право продажи как мера оперативного воздействия подразумевает, что Брокер уполномочен Клиентом на односторонние действия, связанные с продажей Ценных Бумаг Клиента и погашением обязательств Клиента из полученных денежных средств. При этом Брокер вправе самостоятельно определить место продажи Ценных Бумаг Клиента (ТС; неорганизованный рынок), контрагента по сделке, а также определить, какие именно Ценные Бумаги будут реализованы.</w:t>
      </w:r>
    </w:p>
    <w:p w:rsidR="003D6BF9" w:rsidRPr="008903A5" w:rsidRDefault="003D6BF9" w:rsidP="003D6BF9">
      <w:pPr>
        <w:pStyle w:val="a3"/>
        <w:numPr>
          <w:ilvl w:val="1"/>
          <w:numId w:val="21"/>
        </w:numPr>
        <w:tabs>
          <w:tab w:val="clear" w:pos="1364"/>
          <w:tab w:val="num" w:pos="1080"/>
        </w:tabs>
        <w:spacing w:after="60"/>
        <w:ind w:left="0" w:firstLine="720"/>
        <w:rPr>
          <w:sz w:val="20"/>
          <w:szCs w:val="20"/>
        </w:rPr>
      </w:pPr>
      <w:r w:rsidRPr="008903A5">
        <w:rPr>
          <w:sz w:val="20"/>
          <w:szCs w:val="20"/>
        </w:rPr>
        <w:t>По общему правилу, Ценные Бумаги подлежат реализации в количестве, необходимом и достаточном для погашения обязательств Клиента перед Брокером.</w:t>
      </w:r>
    </w:p>
    <w:p w:rsidR="003D6BF9" w:rsidRPr="008903A5" w:rsidRDefault="003D6BF9" w:rsidP="003D6BF9">
      <w:pPr>
        <w:pStyle w:val="a3"/>
        <w:numPr>
          <w:ilvl w:val="1"/>
          <w:numId w:val="21"/>
        </w:numPr>
        <w:tabs>
          <w:tab w:val="clear" w:pos="1364"/>
          <w:tab w:val="num" w:pos="1080"/>
        </w:tabs>
        <w:spacing w:after="60"/>
        <w:ind w:left="0" w:firstLine="720"/>
        <w:rPr>
          <w:sz w:val="20"/>
          <w:szCs w:val="20"/>
        </w:rPr>
      </w:pPr>
      <w:r w:rsidRPr="008903A5">
        <w:rPr>
          <w:sz w:val="20"/>
          <w:szCs w:val="20"/>
        </w:rPr>
        <w:t xml:space="preserve">В случае если правилами ТС или обычаями делового оборота предусмотрена торговля Ценными Бумагами лотами, то Ценные Бумаги могут быть проданы в количестве, превышающем необходимое для погашения обязательств Клиента перед Брокером. </w:t>
      </w:r>
    </w:p>
    <w:p w:rsidR="003D6BF9" w:rsidRPr="008903A5" w:rsidRDefault="003D6BF9" w:rsidP="003D6BF9">
      <w:pPr>
        <w:pStyle w:val="a3"/>
        <w:numPr>
          <w:ilvl w:val="1"/>
          <w:numId w:val="21"/>
        </w:numPr>
        <w:tabs>
          <w:tab w:val="clear" w:pos="1364"/>
          <w:tab w:val="num" w:pos="1080"/>
        </w:tabs>
        <w:spacing w:after="60"/>
        <w:ind w:left="0" w:firstLine="720"/>
        <w:rPr>
          <w:sz w:val="20"/>
          <w:szCs w:val="20"/>
        </w:rPr>
      </w:pPr>
      <w:r w:rsidRPr="008903A5">
        <w:rPr>
          <w:sz w:val="20"/>
          <w:szCs w:val="20"/>
        </w:rPr>
        <w:t xml:space="preserve">Брокер осуществляет процедуру продажи Ценных Бумаг Клиента без соответствующего Поручения Клиента на основании служебного торгового поручения и поручения депо на списание Ценных Бумаг со счета депо Клиента в депозитарии, подписанного уполномоченным сотрудником Брокера. </w:t>
      </w:r>
    </w:p>
    <w:p w:rsidR="003D6BF9" w:rsidRPr="008903A5" w:rsidRDefault="003D6BF9" w:rsidP="003D6BF9">
      <w:pPr>
        <w:pStyle w:val="a3"/>
        <w:numPr>
          <w:ilvl w:val="1"/>
          <w:numId w:val="21"/>
        </w:numPr>
        <w:tabs>
          <w:tab w:val="clear" w:pos="1364"/>
          <w:tab w:val="num" w:pos="1080"/>
        </w:tabs>
        <w:spacing w:after="60"/>
        <w:ind w:left="0" w:firstLine="720"/>
        <w:rPr>
          <w:sz w:val="20"/>
          <w:szCs w:val="20"/>
        </w:rPr>
      </w:pPr>
      <w:r w:rsidRPr="008903A5">
        <w:rPr>
          <w:sz w:val="20"/>
          <w:szCs w:val="20"/>
        </w:rPr>
        <w:t xml:space="preserve">Информация о проведенных операциях, связанных с исполнением служебного торгового поручения, будет включаться в стандартную отчетность Брокера за период, предоставляемую в форме, сроки и в порядке, предусмотренном положениями Регламента. </w:t>
      </w:r>
    </w:p>
    <w:p w:rsidR="003D6BF9" w:rsidRPr="008903A5" w:rsidRDefault="003D6BF9" w:rsidP="003D6BF9">
      <w:pPr>
        <w:pStyle w:val="a3"/>
        <w:numPr>
          <w:ilvl w:val="1"/>
          <w:numId w:val="21"/>
        </w:numPr>
        <w:tabs>
          <w:tab w:val="clear" w:pos="1364"/>
          <w:tab w:val="num" w:pos="1080"/>
        </w:tabs>
        <w:spacing w:after="60"/>
        <w:ind w:left="0" w:firstLine="720"/>
        <w:rPr>
          <w:sz w:val="20"/>
          <w:szCs w:val="20"/>
        </w:rPr>
      </w:pPr>
      <w:r w:rsidRPr="008903A5">
        <w:rPr>
          <w:sz w:val="20"/>
          <w:szCs w:val="20"/>
        </w:rPr>
        <w:t xml:space="preserve">Зачисление денежных средств от реализации Ценных бумаг Клиента на Инвестиционный счет Клиента, а также погашение обязательств Клиента перед Брокером за счет указанных средств осуществляется в порядке, предусмотренном Регламентом. </w:t>
      </w:r>
    </w:p>
    <w:p w:rsidR="003D6BF9" w:rsidRPr="008903A5" w:rsidRDefault="003D6BF9" w:rsidP="003D6BF9">
      <w:pPr>
        <w:pStyle w:val="a3"/>
        <w:numPr>
          <w:ilvl w:val="1"/>
          <w:numId w:val="21"/>
        </w:numPr>
        <w:tabs>
          <w:tab w:val="clear" w:pos="1364"/>
          <w:tab w:val="num" w:pos="1080"/>
        </w:tabs>
        <w:spacing w:after="60"/>
        <w:ind w:left="0" w:firstLine="720"/>
        <w:rPr>
          <w:sz w:val="20"/>
          <w:szCs w:val="20"/>
        </w:rPr>
      </w:pPr>
      <w:r w:rsidRPr="008903A5">
        <w:rPr>
          <w:sz w:val="20"/>
          <w:szCs w:val="20"/>
        </w:rPr>
        <w:t>В случае недостаточности вырученных от продажи Ценных Бумаг денежных средств для погашения обязательств Клиента перед Брокером и отсутствия иных Ценных Бумаг, в отношении которых Брокер имеет право продажи, Клиент не позднее конца Рабочего Дня, следующего за днем предъявления Брокером соответствующего требования, обязан перечислить на расчетный счет Брокера полную сумму в размере текущей величины обязательств Клиента и/или осуществить пост</w:t>
      </w:r>
      <w:r>
        <w:rPr>
          <w:sz w:val="20"/>
          <w:szCs w:val="20"/>
        </w:rPr>
        <w:t>авк</w:t>
      </w:r>
      <w:r w:rsidRPr="008903A5">
        <w:rPr>
          <w:sz w:val="20"/>
          <w:szCs w:val="20"/>
        </w:rPr>
        <w:t>у Ценных Бумаг на указанный Брокером счет в реестре или депозитарии.</w:t>
      </w:r>
    </w:p>
    <w:p w:rsidR="003D6BF9" w:rsidRPr="008903A5" w:rsidRDefault="003D6BF9" w:rsidP="003D6BF9">
      <w:pPr>
        <w:pStyle w:val="a3"/>
        <w:numPr>
          <w:ilvl w:val="1"/>
          <w:numId w:val="21"/>
        </w:numPr>
        <w:tabs>
          <w:tab w:val="clear" w:pos="1364"/>
          <w:tab w:val="num" w:pos="1080"/>
        </w:tabs>
        <w:spacing w:after="60"/>
        <w:ind w:left="0" w:firstLine="720"/>
        <w:rPr>
          <w:sz w:val="20"/>
          <w:szCs w:val="20"/>
        </w:rPr>
      </w:pPr>
      <w:r w:rsidRPr="008903A5">
        <w:rPr>
          <w:sz w:val="20"/>
          <w:szCs w:val="20"/>
        </w:rPr>
        <w:t>Совершая сделки по продаже Ценных Бумаг, в отношении которых Брокер наделен правом продажи, Брокер оставляет за собой право взимать с Клиента вознаграждение за оказание брокерских услуг и суммы возмещения расходов, связанных с исполнением служебного торгового поручения, в размере и в порядке, предусмотренных в Регламенте.</w:t>
      </w:r>
    </w:p>
    <w:p w:rsidR="00076B63" w:rsidRPr="003D6BF9" w:rsidRDefault="00076B63" w:rsidP="003D6BF9">
      <w:bookmarkStart w:id="3" w:name="_GoBack"/>
      <w:bookmarkEnd w:id="3"/>
    </w:p>
    <w:sectPr w:rsidR="00076B63" w:rsidRPr="003D6BF9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447A8"/>
    <w:multiLevelType w:val="hybridMultilevel"/>
    <w:tmpl w:val="98289C46"/>
    <w:lvl w:ilvl="0" w:tplc="95B273D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1004E"/>
    <w:multiLevelType w:val="hybridMultilevel"/>
    <w:tmpl w:val="B4024E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EB83C96"/>
    <w:multiLevelType w:val="hybridMultilevel"/>
    <w:tmpl w:val="36280A12"/>
    <w:lvl w:ilvl="0" w:tplc="A2F0622E">
      <w:start w:val="1"/>
      <w:numFmt w:val="decimal"/>
      <w:lvlText w:val="3.%1."/>
      <w:lvlJc w:val="left"/>
      <w:pPr>
        <w:ind w:left="177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01E4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E7D22BB"/>
    <w:multiLevelType w:val="hybridMultilevel"/>
    <w:tmpl w:val="9D14B8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2C27F7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 w15:restartNumberingAfterBreak="0">
    <w:nsid w:val="3FA0150D"/>
    <w:multiLevelType w:val="hybridMultilevel"/>
    <w:tmpl w:val="998ADF54"/>
    <w:lvl w:ilvl="0" w:tplc="E012A9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C72E5"/>
    <w:multiLevelType w:val="hybridMultilevel"/>
    <w:tmpl w:val="37EE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1DB6813"/>
    <w:multiLevelType w:val="hybridMultilevel"/>
    <w:tmpl w:val="F258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7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C3F3EB2"/>
    <w:multiLevelType w:val="hybridMultilevel"/>
    <w:tmpl w:val="ECC2746E"/>
    <w:lvl w:ilvl="0" w:tplc="431C178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CEA7DC4"/>
    <w:multiLevelType w:val="hybridMultilevel"/>
    <w:tmpl w:val="259E87A2"/>
    <w:lvl w:ilvl="0" w:tplc="FFFFFFFF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cs="Times New Roman" w:hint="default"/>
        <w:b/>
        <w:i w:val="0"/>
        <w:color w:val="auto"/>
        <w:sz w:val="20"/>
        <w:szCs w:val="20"/>
      </w:rPr>
    </w:lvl>
    <w:lvl w:ilvl="1" w:tplc="F3688A44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  <w:rPr>
        <w:rFonts w:hint="default"/>
        <w:b w:val="0"/>
        <w:i w:val="0"/>
        <w:color w:val="auto"/>
        <w:sz w:val="20"/>
        <w:szCs w:val="20"/>
      </w:rPr>
    </w:lvl>
    <w:lvl w:ilvl="2" w:tplc="FFFFFFFF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7"/>
  </w:num>
  <w:num w:numId="5">
    <w:abstractNumId w:val="8"/>
  </w:num>
  <w:num w:numId="6">
    <w:abstractNumId w:val="14"/>
  </w:num>
  <w:num w:numId="7">
    <w:abstractNumId w:val="4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6"/>
  </w:num>
  <w:num w:numId="13">
    <w:abstractNumId w:val="15"/>
  </w:num>
  <w:num w:numId="14">
    <w:abstractNumId w:val="11"/>
  </w:num>
  <w:num w:numId="15">
    <w:abstractNumId w:val="10"/>
  </w:num>
  <w:num w:numId="16">
    <w:abstractNumId w:val="1"/>
  </w:num>
  <w:num w:numId="17">
    <w:abstractNumId w:val="5"/>
  </w:num>
  <w:num w:numId="18">
    <w:abstractNumId w:val="19"/>
  </w:num>
  <w:num w:numId="19">
    <w:abstractNumId w:val="3"/>
  </w:num>
  <w:num w:numId="20">
    <w:abstractNumId w:val="7"/>
  </w:num>
  <w:num w:numId="21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307CB"/>
    <w:rsid w:val="00044563"/>
    <w:rsid w:val="00076B63"/>
    <w:rsid w:val="001411B7"/>
    <w:rsid w:val="002C78A1"/>
    <w:rsid w:val="002E676B"/>
    <w:rsid w:val="003239B6"/>
    <w:rsid w:val="00326E8F"/>
    <w:rsid w:val="003D6BF9"/>
    <w:rsid w:val="003E5672"/>
    <w:rsid w:val="004B6BA7"/>
    <w:rsid w:val="004D192A"/>
    <w:rsid w:val="005457C6"/>
    <w:rsid w:val="00602D7F"/>
    <w:rsid w:val="007300F2"/>
    <w:rsid w:val="00783B3C"/>
    <w:rsid w:val="009A7D14"/>
    <w:rsid w:val="00B00322"/>
    <w:rsid w:val="00BA06E6"/>
    <w:rsid w:val="00BA52BA"/>
    <w:rsid w:val="00C231DB"/>
    <w:rsid w:val="00C83088"/>
    <w:rsid w:val="00E30801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 1 инт"/>
    <w:basedOn w:val="a3"/>
    <w:rsid w:val="00BA06E6"/>
    <w:pPr>
      <w:spacing w:before="120"/>
    </w:pPr>
    <w:rPr>
      <w:lang w:val="en-US"/>
    </w:rPr>
  </w:style>
  <w:style w:type="paragraph" w:customStyle="1" w:styleId="Default">
    <w:name w:val="Default"/>
    <w:rsid w:val="00BA0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2024-10-25T07:13:00Z</dcterms:created>
  <dcterms:modified xsi:type="dcterms:W3CDTF">2024-10-25T07:13:00Z</dcterms:modified>
</cp:coreProperties>
</file>