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7D14" w:rsidRPr="00D013DD" w:rsidRDefault="009A7D14" w:rsidP="009A7D14">
      <w:pPr>
        <w:pStyle w:val="1"/>
        <w:jc w:val="right"/>
        <w:rPr>
          <w:i/>
          <w:sz w:val="20"/>
        </w:rPr>
      </w:pPr>
      <w:bookmarkStart w:id="0" w:name="_Toc180138149"/>
      <w:r w:rsidRPr="00A85286">
        <w:rPr>
          <w:b w:val="0"/>
          <w:i/>
          <w:caps w:val="0"/>
          <w:smallCaps/>
          <w:sz w:val="20"/>
          <w:szCs w:val="20"/>
        </w:rPr>
        <w:t>Приложение</w:t>
      </w:r>
      <w:r w:rsidRPr="00D013DD">
        <w:rPr>
          <w:i/>
          <w:sz w:val="20"/>
        </w:rPr>
        <w:t xml:space="preserve"> № 2</w:t>
      </w:r>
      <w:bookmarkEnd w:id="0"/>
    </w:p>
    <w:p w:rsidR="009A7D14" w:rsidRPr="00A85286" w:rsidRDefault="009A7D14" w:rsidP="009A7D14">
      <w:pPr>
        <w:pStyle w:val="1"/>
      </w:pPr>
      <w:bookmarkStart w:id="1" w:name="_Toc180138150"/>
      <w:r w:rsidRPr="00A85286">
        <w:t>ТАРИФЫ</w:t>
      </w:r>
      <w:bookmarkEnd w:id="1"/>
      <w:r w:rsidRPr="00A85286">
        <w:t xml:space="preserve"> </w:t>
      </w:r>
    </w:p>
    <w:p w:rsidR="009A7D14" w:rsidRPr="00560F4B" w:rsidRDefault="009A7D14" w:rsidP="009A7D14">
      <w:pPr>
        <w:pStyle w:val="2"/>
      </w:pPr>
      <w:bookmarkStart w:id="2" w:name="_Toc175052060"/>
      <w:bookmarkStart w:id="3" w:name="_GoBack"/>
      <w:r w:rsidRPr="00560F4B">
        <w:t>Тарифный план «</w:t>
      </w:r>
      <w:r>
        <w:t>Выгодный</w:t>
      </w:r>
      <w:r w:rsidRPr="00560F4B">
        <w:t>»</w:t>
      </w:r>
      <w:bookmarkEnd w:id="2"/>
    </w:p>
    <w:tbl>
      <w:tblPr>
        <w:tblStyle w:val="11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2381"/>
        <w:gridCol w:w="2550"/>
        <w:gridCol w:w="1532"/>
        <w:gridCol w:w="3318"/>
      </w:tblGrid>
      <w:tr w:rsidR="009A7D14" w:rsidRPr="00560F4B" w:rsidTr="003F4808">
        <w:trPr>
          <w:trHeight w:val="202"/>
        </w:trPr>
        <w:tc>
          <w:tcPr>
            <w:tcW w:w="10348" w:type="dxa"/>
            <w:gridSpan w:val="5"/>
            <w:shd w:val="clear" w:color="auto" w:fill="63002F"/>
            <w:vAlign w:val="center"/>
          </w:tcPr>
          <w:bookmarkEnd w:id="3"/>
          <w:p w:rsidR="009A7D14" w:rsidRPr="00560F4B" w:rsidRDefault="009A7D14" w:rsidP="009A7D14">
            <w:pPr>
              <w:numPr>
                <w:ilvl w:val="0"/>
                <w:numId w:val="47"/>
              </w:numPr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Фондовый рынок ПАО Московская Биржа </w:t>
            </w:r>
          </w:p>
        </w:tc>
      </w:tr>
      <w:tr w:rsidR="009A7D14" w:rsidRPr="00560F4B" w:rsidTr="003F4808">
        <w:trPr>
          <w:trHeight w:val="227"/>
        </w:trPr>
        <w:tc>
          <w:tcPr>
            <w:tcW w:w="567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А.1.1</w:t>
            </w:r>
          </w:p>
        </w:tc>
        <w:tc>
          <w:tcPr>
            <w:tcW w:w="2381" w:type="dxa"/>
            <w:vMerge w:val="restart"/>
            <w:shd w:val="clear" w:color="auto" w:fill="auto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по сделкам с ценными бумагами (за исключением сделок РЕПО, РПС)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Оценка стоимости активов Клиента, руб.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</w:t>
            </w:r>
            <w:r>
              <w:rPr>
                <w:sz w:val="16"/>
                <w:szCs w:val="16"/>
              </w:rPr>
              <w:t xml:space="preserve"> </w:t>
            </w:r>
            <w:r w:rsidRPr="00560F4B">
              <w:rPr>
                <w:sz w:val="16"/>
                <w:szCs w:val="16"/>
              </w:rPr>
              <w:t>%</w:t>
            </w:r>
          </w:p>
        </w:tc>
        <w:tc>
          <w:tcPr>
            <w:tcW w:w="3318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Включает комиссию биржи.</w:t>
            </w:r>
          </w:p>
        </w:tc>
      </w:tr>
      <w:tr w:rsidR="009A7D14" w:rsidRPr="00560F4B" w:rsidTr="003F4808">
        <w:trPr>
          <w:trHeight w:val="227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 500 000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,4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shd w:val="pct5" w:color="auto" w:fill="auto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06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500 000,01 до 1 000 000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227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1 000 000,01 до 3 000 000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227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3 000 000,01 до 10 000 000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227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shd w:val="clear" w:color="auto" w:fill="auto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10 000 000,01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,01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85"/>
        </w:trPr>
        <w:tc>
          <w:tcPr>
            <w:tcW w:w="567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А.1.2</w:t>
            </w:r>
          </w:p>
        </w:tc>
        <w:tc>
          <w:tcPr>
            <w:tcW w:w="2381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за совершение сделок переноса необеспеченной торговой позиции по денежным средствам или ценным бумагам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Оценка стоимости активов Клиента, руб.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</w:t>
            </w:r>
            <w:r>
              <w:rPr>
                <w:sz w:val="16"/>
                <w:szCs w:val="16"/>
              </w:rPr>
              <w:t xml:space="preserve"> </w:t>
            </w:r>
            <w:r w:rsidRPr="00560F4B">
              <w:rPr>
                <w:sz w:val="16"/>
                <w:szCs w:val="16"/>
              </w:rPr>
              <w:t>% годовых</w:t>
            </w:r>
          </w:p>
        </w:tc>
        <w:tc>
          <w:tcPr>
            <w:tcW w:w="3318" w:type="dxa"/>
            <w:vMerge w:val="restart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Взимается от суммы прямой сделки переноса необеспеченной позиции с учетом количества календарных дней переноса. Включает комиссию биржи.</w:t>
            </w:r>
          </w:p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Минимальная комиссия по сделке – 1</w:t>
            </w:r>
            <w:r>
              <w:rPr>
                <w:sz w:val="16"/>
                <w:szCs w:val="16"/>
              </w:rPr>
              <w:t>5</w:t>
            </w:r>
            <w:r w:rsidRPr="00560F4B">
              <w:rPr>
                <w:sz w:val="16"/>
                <w:szCs w:val="16"/>
              </w:rPr>
              <w:t xml:space="preserve"> руб.</w:t>
            </w:r>
          </w:p>
        </w:tc>
      </w:tr>
      <w:tr w:rsidR="009A7D14" w:rsidRPr="00560F4B" w:rsidTr="003F4808">
        <w:trPr>
          <w:trHeight w:val="166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 1 000 000</w:t>
            </w:r>
          </w:p>
        </w:tc>
        <w:tc>
          <w:tcPr>
            <w:tcW w:w="1532" w:type="dxa"/>
          </w:tcPr>
          <w:p w:rsidR="009A7D14" w:rsidRPr="00560F4B" w:rsidRDefault="009A7D14" w:rsidP="003F4808">
            <w:pPr>
              <w:jc w:val="center"/>
              <w:rPr>
                <w:strike/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БР*+7</w:t>
            </w:r>
            <w:r w:rsidRPr="00560F4B">
              <w:rPr>
                <w:sz w:val="16"/>
                <w:szCs w:val="16"/>
                <w:lang w:val="en-US"/>
              </w:rPr>
              <w:t>,</w:t>
            </w:r>
            <w:r w:rsidRPr="00560F4B">
              <w:rPr>
                <w:sz w:val="16"/>
                <w:szCs w:val="16"/>
              </w:rPr>
              <w:t>5%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85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1 000 000,01 до 3 000 000</w:t>
            </w:r>
          </w:p>
        </w:tc>
        <w:tc>
          <w:tcPr>
            <w:tcW w:w="1532" w:type="dxa"/>
          </w:tcPr>
          <w:p w:rsidR="009A7D14" w:rsidRPr="00560F4B" w:rsidRDefault="009A7D14" w:rsidP="003F4808">
            <w:pPr>
              <w:jc w:val="center"/>
              <w:rPr>
                <w:strike/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БР*+5%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477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3 000 000,01</w:t>
            </w:r>
          </w:p>
        </w:tc>
        <w:tc>
          <w:tcPr>
            <w:tcW w:w="1532" w:type="dxa"/>
          </w:tcPr>
          <w:p w:rsidR="009A7D14" w:rsidRPr="00560F4B" w:rsidRDefault="009A7D14" w:rsidP="003F4808">
            <w:pPr>
              <w:jc w:val="center"/>
              <w:rPr>
                <w:strike/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</w:t>
            </w:r>
            <w:r w:rsidRPr="00560F4B">
              <w:rPr>
                <w:sz w:val="16"/>
                <w:szCs w:val="16"/>
                <w:lang w:val="en-US"/>
              </w:rPr>
              <w:t>3</w:t>
            </w:r>
            <w:r w:rsidRPr="00560F4B">
              <w:rPr>
                <w:sz w:val="16"/>
                <w:szCs w:val="16"/>
              </w:rPr>
              <w:t>%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98"/>
        </w:trPr>
        <w:tc>
          <w:tcPr>
            <w:tcW w:w="10348" w:type="dxa"/>
            <w:gridSpan w:val="5"/>
            <w:shd w:val="clear" w:color="auto" w:fill="63002F"/>
            <w:vAlign w:val="center"/>
          </w:tcPr>
          <w:p w:rsidR="009A7D14" w:rsidRPr="00560F4B" w:rsidRDefault="009A7D14" w:rsidP="009A7D14">
            <w:pPr>
              <w:numPr>
                <w:ilvl w:val="0"/>
                <w:numId w:val="47"/>
              </w:numPr>
              <w:ind w:right="-41"/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Срочный рынок ПАО Московская Биржа</w:t>
            </w:r>
          </w:p>
        </w:tc>
      </w:tr>
      <w:tr w:rsidR="009A7D14" w:rsidRPr="00560F4B" w:rsidTr="003F4808">
        <w:trPr>
          <w:trHeight w:val="227"/>
        </w:trPr>
        <w:tc>
          <w:tcPr>
            <w:tcW w:w="567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А.2.1</w:t>
            </w:r>
          </w:p>
        </w:tc>
        <w:tc>
          <w:tcPr>
            <w:tcW w:w="2381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по операциям с производными финансовыми инструментами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Оценка стоимости активов Клиента, руб.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Ставка, руб. за контракт</w:t>
            </w:r>
          </w:p>
        </w:tc>
        <w:tc>
          <w:tcPr>
            <w:tcW w:w="3318" w:type="dxa"/>
            <w:vMerge w:val="restart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включает комиссию биржи.</w:t>
            </w:r>
          </w:p>
        </w:tc>
      </w:tr>
      <w:tr w:rsidR="009A7D14" w:rsidRPr="00560F4B" w:rsidTr="003F4808">
        <w:trPr>
          <w:trHeight w:val="108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 500 000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18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500 000,01 до 1 000 000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08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1 000 000,01 до 3 000 000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08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3 000 000,01 до 10 000 000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08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10 000 000,01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25"/>
        </w:trPr>
        <w:tc>
          <w:tcPr>
            <w:tcW w:w="567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А.2.2</w:t>
            </w:r>
          </w:p>
        </w:tc>
        <w:tc>
          <w:tcPr>
            <w:tcW w:w="2381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Комиссионное вознаграждение за предоставление поддерживающей маржи 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Оценка стоимости активов Клиента, руб.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Ставка,% годовых</w:t>
            </w:r>
          </w:p>
        </w:tc>
        <w:tc>
          <w:tcPr>
            <w:tcW w:w="3318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Взимается ежедневно от величины рублевого недостатка средств гарантийного обеспечения на конец дня.</w:t>
            </w:r>
          </w:p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Внутри дня предоставляется бесплатно.</w:t>
            </w:r>
          </w:p>
        </w:tc>
      </w:tr>
      <w:tr w:rsidR="009A7D14" w:rsidRPr="00560F4B" w:rsidTr="003F4808">
        <w:trPr>
          <w:trHeight w:val="278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 1 000 000</w:t>
            </w:r>
          </w:p>
        </w:tc>
        <w:tc>
          <w:tcPr>
            <w:tcW w:w="1532" w:type="dxa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БР*+7,5%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22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1 000 000,01 до 3 000 000</w:t>
            </w:r>
          </w:p>
        </w:tc>
        <w:tc>
          <w:tcPr>
            <w:tcW w:w="1532" w:type="dxa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БР*+5%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263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3 000 000,01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</w:t>
            </w:r>
            <w:r w:rsidRPr="00560F4B">
              <w:rPr>
                <w:sz w:val="16"/>
                <w:szCs w:val="16"/>
                <w:lang w:val="en-US"/>
              </w:rPr>
              <w:t>3</w:t>
            </w:r>
            <w:r w:rsidRPr="00560F4B">
              <w:rPr>
                <w:sz w:val="16"/>
                <w:szCs w:val="16"/>
              </w:rPr>
              <w:t>%</w:t>
            </w:r>
          </w:p>
        </w:tc>
        <w:tc>
          <w:tcPr>
            <w:tcW w:w="3318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98"/>
        </w:trPr>
        <w:tc>
          <w:tcPr>
            <w:tcW w:w="10348" w:type="dxa"/>
            <w:gridSpan w:val="5"/>
            <w:tcBorders>
              <w:top w:val="single" w:sz="4" w:space="0" w:color="auto"/>
            </w:tcBorders>
            <w:shd w:val="clear" w:color="auto" w:fill="63002F"/>
            <w:vAlign w:val="center"/>
          </w:tcPr>
          <w:p w:rsidR="009A7D14" w:rsidRPr="00560F4B" w:rsidRDefault="009A7D14" w:rsidP="009A7D14">
            <w:pPr>
              <w:numPr>
                <w:ilvl w:val="0"/>
                <w:numId w:val="47"/>
              </w:numPr>
              <w:ind w:right="-41"/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Валютный рынок и рынок драгоценных металлов ПАО Московская Биржа</w:t>
            </w:r>
          </w:p>
        </w:tc>
      </w:tr>
      <w:tr w:rsidR="009A7D14" w:rsidRPr="00560F4B" w:rsidTr="003F4808">
        <w:trPr>
          <w:trHeight w:val="200"/>
        </w:trPr>
        <w:tc>
          <w:tcPr>
            <w:tcW w:w="567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А.3.1</w:t>
            </w:r>
          </w:p>
        </w:tc>
        <w:tc>
          <w:tcPr>
            <w:tcW w:w="2381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по сделкам с иностранными валютами**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Оценка стоимости активов Клиента, руб.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</w:t>
            </w:r>
            <w:r>
              <w:rPr>
                <w:sz w:val="16"/>
                <w:szCs w:val="16"/>
              </w:rPr>
              <w:t xml:space="preserve"> </w:t>
            </w:r>
            <w:r w:rsidRPr="00560F4B">
              <w:rPr>
                <w:sz w:val="16"/>
                <w:szCs w:val="16"/>
              </w:rPr>
              <w:t>%</w:t>
            </w:r>
          </w:p>
        </w:tc>
        <w:tc>
          <w:tcPr>
            <w:tcW w:w="3318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включает комиссию биржи.</w:t>
            </w:r>
          </w:p>
        </w:tc>
      </w:tr>
      <w:tr w:rsidR="009A7D14" w:rsidRPr="00560F4B" w:rsidTr="003F4808">
        <w:trPr>
          <w:trHeight w:val="197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 1 000 000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0,6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97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1 000 000,01 до 10 000 000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97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10 000 000,01 до 30 000 000</w:t>
            </w:r>
          </w:p>
        </w:tc>
        <w:tc>
          <w:tcPr>
            <w:tcW w:w="1532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97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30 000 000,01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</w:p>
        </w:tc>
        <w:tc>
          <w:tcPr>
            <w:tcW w:w="3318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95"/>
        </w:trPr>
        <w:tc>
          <w:tcPr>
            <w:tcW w:w="567" w:type="dxa"/>
            <w:vMerge w:val="restart"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А.3.2</w:t>
            </w:r>
          </w:p>
        </w:tc>
        <w:tc>
          <w:tcPr>
            <w:tcW w:w="2381" w:type="dxa"/>
            <w:vMerge w:val="restart"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за совершение сделок переноса торговой позиции по покупке или продаже иностранной валюты и драгоценных металлов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Оценка стоимости активов Клиента, руб.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сделки,% годовых</w:t>
            </w:r>
          </w:p>
        </w:tc>
        <w:tc>
          <w:tcPr>
            <w:tcW w:w="3318" w:type="dxa"/>
            <w:vMerge w:val="restart"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Взимается от суммы первой сделки с учетом количества календарных дней переноса. </w:t>
            </w:r>
          </w:p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Включает комиссию биржи.</w:t>
            </w:r>
          </w:p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Минимальная комиссия по сделке – </w:t>
            </w:r>
            <w:r>
              <w:rPr>
                <w:sz w:val="16"/>
                <w:szCs w:val="16"/>
              </w:rPr>
              <w:t>8</w:t>
            </w:r>
            <w:r w:rsidRPr="00560F4B">
              <w:rPr>
                <w:sz w:val="16"/>
                <w:szCs w:val="16"/>
              </w:rPr>
              <w:t>5 руб.</w:t>
            </w:r>
          </w:p>
        </w:tc>
      </w:tr>
      <w:tr w:rsidR="009A7D14" w:rsidRPr="00560F4B" w:rsidTr="003F4808">
        <w:trPr>
          <w:trHeight w:val="162"/>
        </w:trPr>
        <w:tc>
          <w:tcPr>
            <w:tcW w:w="567" w:type="dxa"/>
            <w:vMerge/>
            <w:tcBorders>
              <w:top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tcBorders>
              <w:top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top w:val="single" w:sz="4" w:space="0" w:color="auto"/>
            </w:tcBorders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 1 000 000</w:t>
            </w:r>
          </w:p>
        </w:tc>
        <w:tc>
          <w:tcPr>
            <w:tcW w:w="1532" w:type="dxa"/>
            <w:tcBorders>
              <w:top w:val="single" w:sz="4" w:space="0" w:color="auto"/>
            </w:tcBorders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БР*+7,5%</w:t>
            </w:r>
          </w:p>
        </w:tc>
        <w:tc>
          <w:tcPr>
            <w:tcW w:w="3318" w:type="dxa"/>
            <w:vMerge/>
            <w:tcBorders>
              <w:top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92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1 000 000,01 до 3 000 000</w:t>
            </w:r>
          </w:p>
        </w:tc>
        <w:tc>
          <w:tcPr>
            <w:tcW w:w="1532" w:type="dxa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БР*+5%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297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3 000 000,01</w:t>
            </w:r>
          </w:p>
        </w:tc>
        <w:tc>
          <w:tcPr>
            <w:tcW w:w="1532" w:type="dxa"/>
            <w:tcBorders>
              <w:bottom w:val="single" w:sz="4" w:space="0" w:color="auto"/>
            </w:tcBorders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</w:t>
            </w:r>
            <w:r w:rsidRPr="00560F4B">
              <w:rPr>
                <w:sz w:val="16"/>
                <w:szCs w:val="16"/>
                <w:lang w:val="en-US"/>
              </w:rPr>
              <w:t>3</w:t>
            </w:r>
            <w:r w:rsidRPr="00560F4B">
              <w:rPr>
                <w:sz w:val="16"/>
                <w:szCs w:val="16"/>
              </w:rPr>
              <w:t>%</w:t>
            </w:r>
          </w:p>
        </w:tc>
        <w:tc>
          <w:tcPr>
            <w:tcW w:w="3318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61"/>
        </w:trPr>
        <w:tc>
          <w:tcPr>
            <w:tcW w:w="567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А.3.3</w:t>
            </w:r>
          </w:p>
        </w:tc>
        <w:tc>
          <w:tcPr>
            <w:tcW w:w="2381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по сделкам с драгоценными металлами</w:t>
            </w:r>
          </w:p>
        </w:tc>
        <w:tc>
          <w:tcPr>
            <w:tcW w:w="2550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Оценка стоимости активов Клиента, руб.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сделки,%</w:t>
            </w:r>
          </w:p>
        </w:tc>
        <w:tc>
          <w:tcPr>
            <w:tcW w:w="3318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включает комиссию биржи.</w:t>
            </w:r>
          </w:p>
        </w:tc>
      </w:tr>
      <w:tr w:rsidR="009A7D14" w:rsidRPr="00560F4B" w:rsidTr="003F4808">
        <w:trPr>
          <w:trHeight w:val="220"/>
        </w:trPr>
        <w:tc>
          <w:tcPr>
            <w:tcW w:w="567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550" w:type="dxa"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Вне зависимости от стоимости активов</w:t>
            </w:r>
          </w:p>
        </w:tc>
        <w:tc>
          <w:tcPr>
            <w:tcW w:w="1532" w:type="dxa"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3318" w:type="dxa"/>
            <w:vMerge/>
            <w:tcBorders>
              <w:bottom w:val="single" w:sz="4" w:space="0" w:color="auto"/>
            </w:tcBorders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202"/>
        </w:trPr>
        <w:tc>
          <w:tcPr>
            <w:tcW w:w="10348" w:type="dxa"/>
            <w:gridSpan w:val="5"/>
            <w:shd w:val="clear" w:color="auto" w:fill="63002F"/>
            <w:vAlign w:val="center"/>
          </w:tcPr>
          <w:p w:rsidR="009A7D14" w:rsidRPr="00560F4B" w:rsidRDefault="009A7D14" w:rsidP="009A7D14">
            <w:pPr>
              <w:numPr>
                <w:ilvl w:val="0"/>
                <w:numId w:val="47"/>
              </w:numPr>
              <w:ind w:right="-41"/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Внебиржевой рынок</w:t>
            </w:r>
          </w:p>
        </w:tc>
      </w:tr>
      <w:tr w:rsidR="009A7D14" w:rsidRPr="00560F4B" w:rsidTr="003F4808">
        <w:trPr>
          <w:trHeight w:val="60"/>
        </w:trPr>
        <w:tc>
          <w:tcPr>
            <w:tcW w:w="567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</w:t>
            </w:r>
            <w:r>
              <w:rPr>
                <w:sz w:val="16"/>
                <w:szCs w:val="16"/>
              </w:rPr>
              <w:t>4</w:t>
            </w:r>
            <w:r w:rsidRPr="00560F4B">
              <w:rPr>
                <w:sz w:val="16"/>
                <w:szCs w:val="16"/>
              </w:rPr>
              <w:t>.1</w:t>
            </w:r>
          </w:p>
        </w:tc>
        <w:tc>
          <w:tcPr>
            <w:tcW w:w="2381" w:type="dxa"/>
            <w:vMerge w:val="restart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от суммы гражданско-правовых сделок с ценными бумагами (кроме сделок с инвестиционными паями паевых инвестиционных фондов, коммерческими облигациями, структурными облигациями) или от суммы договоров, являющихся производными финансовыми инструментами.</w:t>
            </w:r>
          </w:p>
        </w:tc>
        <w:tc>
          <w:tcPr>
            <w:tcW w:w="2550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Дневной оборот, руб.</w:t>
            </w:r>
          </w:p>
        </w:tc>
        <w:tc>
          <w:tcPr>
            <w:tcW w:w="1532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</w:t>
            </w:r>
            <w:r>
              <w:rPr>
                <w:sz w:val="16"/>
                <w:szCs w:val="16"/>
              </w:rPr>
              <w:t xml:space="preserve"> </w:t>
            </w:r>
            <w:r w:rsidRPr="00560F4B">
              <w:rPr>
                <w:sz w:val="16"/>
                <w:szCs w:val="16"/>
              </w:rPr>
              <w:t>%</w:t>
            </w:r>
          </w:p>
        </w:tc>
        <w:tc>
          <w:tcPr>
            <w:tcW w:w="3318" w:type="dxa"/>
            <w:vMerge w:val="restart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Объем сделки, выраженной в иностранной валюте, рассчитывается в день заключения сделки по курсу иностранной валюты к российскому рублю, установленному </w:t>
            </w:r>
            <w:r>
              <w:rPr>
                <w:sz w:val="16"/>
                <w:szCs w:val="16"/>
              </w:rPr>
              <w:t>Банком России</w:t>
            </w:r>
            <w:r w:rsidRPr="00560F4B">
              <w:rPr>
                <w:sz w:val="16"/>
                <w:szCs w:val="16"/>
              </w:rPr>
              <w:t xml:space="preserve"> на день заключения сделки </w:t>
            </w:r>
          </w:p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Размер ставки по конкретному выпуску структурной облигации и инвестиционному паю паевого инвестиционного фонда устанавливается Компанией самостоятельно и публикуется на </w:t>
            </w:r>
            <w:r w:rsidRPr="00560F4B">
              <w:rPr>
                <w:sz w:val="16"/>
                <w:szCs w:val="16"/>
                <w:lang w:val="en-US"/>
              </w:rPr>
              <w:t>WEB</w:t>
            </w:r>
            <w:r w:rsidRPr="00560F4B">
              <w:rPr>
                <w:sz w:val="16"/>
                <w:szCs w:val="16"/>
              </w:rPr>
              <w:t>-сайте Компании за 3 (Три) рабочих дня до применения комиссионного вознаграждения. Если размер ставки по конкретному выпуску структурной облигации и (или) инвестиционному паю паевого инвестиционного фонда не опубликованы Компанией, применяются ставки п.А.</w:t>
            </w:r>
            <w:r>
              <w:rPr>
                <w:sz w:val="16"/>
                <w:szCs w:val="16"/>
              </w:rPr>
              <w:t>4</w:t>
            </w:r>
            <w:r w:rsidRPr="00560F4B">
              <w:rPr>
                <w:sz w:val="16"/>
                <w:szCs w:val="16"/>
              </w:rPr>
              <w:t>.1</w:t>
            </w:r>
          </w:p>
        </w:tc>
      </w:tr>
      <w:tr w:rsidR="009A7D14" w:rsidRPr="00560F4B" w:rsidTr="003F4808">
        <w:trPr>
          <w:trHeight w:val="60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 3 000 000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3</w:t>
            </w:r>
            <w:r w:rsidRPr="00560F4B">
              <w:rPr>
                <w:sz w:val="16"/>
                <w:szCs w:val="16"/>
              </w:rPr>
              <w:t>0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60"/>
        </w:trPr>
        <w:tc>
          <w:tcPr>
            <w:tcW w:w="567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381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3 000 000.01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2</w:t>
            </w:r>
            <w:r w:rsidRPr="00560F4B">
              <w:rPr>
                <w:sz w:val="16"/>
                <w:szCs w:val="16"/>
              </w:rPr>
              <w:t>5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567" w:type="dxa"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</w:t>
            </w:r>
            <w:r>
              <w:rPr>
                <w:sz w:val="16"/>
                <w:szCs w:val="16"/>
              </w:rPr>
              <w:t>4</w:t>
            </w:r>
            <w:r w:rsidRPr="00560F4B">
              <w:rPr>
                <w:sz w:val="16"/>
                <w:szCs w:val="16"/>
              </w:rPr>
              <w:t>.2</w:t>
            </w:r>
          </w:p>
        </w:tc>
        <w:tc>
          <w:tcPr>
            <w:tcW w:w="2381" w:type="dxa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от суммы гражданско-правовых сделок с ценными бумагами, являющимися коммерческими облигациями</w:t>
            </w: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Вне зависимости от оборота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0,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567" w:type="dxa"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</w:t>
            </w:r>
            <w:r>
              <w:rPr>
                <w:sz w:val="16"/>
                <w:szCs w:val="16"/>
              </w:rPr>
              <w:t>4</w:t>
            </w:r>
            <w:r w:rsidRPr="00560F4B">
              <w:rPr>
                <w:sz w:val="16"/>
                <w:szCs w:val="16"/>
              </w:rPr>
              <w:t>.3</w:t>
            </w:r>
          </w:p>
        </w:tc>
        <w:tc>
          <w:tcPr>
            <w:tcW w:w="2381" w:type="dxa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Комиссионное вознаграждение от суммы гражданско-правовых сделок с ценными бумагами, являющимися структурными облигациями (в том числе структурными облигациями </w:t>
            </w:r>
            <w:r w:rsidRPr="00560F4B">
              <w:rPr>
                <w:sz w:val="16"/>
                <w:szCs w:val="16"/>
              </w:rPr>
              <w:lastRenderedPageBreak/>
              <w:t>иностранных эмитентов – структурными нотами) и инвестиционными паями паевых инвестиционных фондов.</w:t>
            </w:r>
          </w:p>
        </w:tc>
        <w:tc>
          <w:tcPr>
            <w:tcW w:w="2550" w:type="dxa"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lastRenderedPageBreak/>
              <w:t>Вне зависимости от оборота</w:t>
            </w:r>
          </w:p>
        </w:tc>
        <w:tc>
          <w:tcPr>
            <w:tcW w:w="1532" w:type="dxa"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До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3318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10348" w:type="dxa"/>
            <w:gridSpan w:val="5"/>
            <w:shd w:val="clear" w:color="auto" w:fill="63002F"/>
            <w:vAlign w:val="center"/>
          </w:tcPr>
          <w:p w:rsidR="009A7D14" w:rsidRPr="00560F4B" w:rsidRDefault="009A7D14" w:rsidP="009A7D14">
            <w:pPr>
              <w:numPr>
                <w:ilvl w:val="0"/>
                <w:numId w:val="47"/>
              </w:numPr>
              <w:ind w:right="-41"/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lastRenderedPageBreak/>
              <w:t>Дополнительные комиссии</w:t>
            </w:r>
          </w:p>
        </w:tc>
      </w:tr>
      <w:tr w:rsidR="009A7D14" w:rsidRPr="00560F4B" w:rsidTr="003F4808">
        <w:trPr>
          <w:trHeight w:val="70"/>
        </w:trPr>
        <w:tc>
          <w:tcPr>
            <w:tcW w:w="567" w:type="dxa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.5</w:t>
            </w:r>
            <w:r w:rsidRPr="00560F4B">
              <w:rPr>
                <w:sz w:val="16"/>
                <w:szCs w:val="16"/>
              </w:rPr>
              <w:t>.1</w:t>
            </w:r>
          </w:p>
        </w:tc>
        <w:tc>
          <w:tcPr>
            <w:tcW w:w="2381" w:type="dxa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Минимальная сумма вознаграждения Брокера</w:t>
            </w:r>
          </w:p>
        </w:tc>
        <w:tc>
          <w:tcPr>
            <w:tcW w:w="4082" w:type="dxa"/>
            <w:gridSpan w:val="2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318" w:type="dxa"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567" w:type="dxa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.5</w:t>
            </w:r>
            <w:r w:rsidRPr="00560F4B">
              <w:rPr>
                <w:sz w:val="16"/>
                <w:szCs w:val="16"/>
              </w:rPr>
              <w:t>.2</w:t>
            </w:r>
          </w:p>
        </w:tc>
        <w:tc>
          <w:tcPr>
            <w:tcW w:w="2381" w:type="dxa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Комиссия за ведение </w:t>
            </w:r>
            <w:r>
              <w:rPr>
                <w:sz w:val="16"/>
                <w:szCs w:val="16"/>
              </w:rPr>
              <w:t>брокерского</w:t>
            </w:r>
            <w:r w:rsidRPr="00560F4B">
              <w:rPr>
                <w:sz w:val="16"/>
                <w:szCs w:val="16"/>
              </w:rPr>
              <w:t xml:space="preserve"> счета Клиента</w:t>
            </w:r>
          </w:p>
        </w:tc>
        <w:tc>
          <w:tcPr>
            <w:tcW w:w="4082" w:type="dxa"/>
            <w:gridSpan w:val="2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318" w:type="dxa"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567" w:type="dxa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.5</w:t>
            </w:r>
            <w:r w:rsidRPr="00560F4B">
              <w:rPr>
                <w:sz w:val="16"/>
                <w:szCs w:val="16"/>
              </w:rPr>
              <w:t>.3</w:t>
            </w:r>
          </w:p>
        </w:tc>
        <w:tc>
          <w:tcPr>
            <w:tcW w:w="2381" w:type="dxa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Исполнение Поручения клиента на отзыв денежных средств, номинированных в рублях</w:t>
            </w:r>
          </w:p>
        </w:tc>
        <w:tc>
          <w:tcPr>
            <w:tcW w:w="4082" w:type="dxa"/>
            <w:gridSpan w:val="2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318" w:type="dxa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567" w:type="dxa"/>
            <w:tcBorders>
              <w:top w:val="single" w:sz="4" w:space="0" w:color="auto"/>
            </w:tcBorders>
            <w:vAlign w:val="center"/>
          </w:tcPr>
          <w:p w:rsidR="009A7D14" w:rsidRPr="00560F4B" w:rsidDel="00A01531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</w:t>
            </w:r>
            <w:r>
              <w:rPr>
                <w:sz w:val="16"/>
                <w:szCs w:val="16"/>
              </w:rPr>
              <w:t>5</w:t>
            </w:r>
            <w:r w:rsidRPr="00560F4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2381" w:type="dxa"/>
            <w:tcBorders>
              <w:top w:val="single" w:sz="4" w:space="0" w:color="auto"/>
            </w:tcBorders>
            <w:vAlign w:val="center"/>
          </w:tcPr>
          <w:p w:rsidR="009A7D14" w:rsidRPr="00560F4B" w:rsidDel="00A01531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Комиссионное вознаграждение за принятие торговых поручений Клиента, направленных Компании способом, отличным от передачи поручений Клиента посредством ИТС </w:t>
            </w:r>
            <w:r w:rsidRPr="00560F4B">
              <w:rPr>
                <w:sz w:val="16"/>
                <w:szCs w:val="16"/>
                <w:lang w:val="en-US"/>
              </w:rPr>
              <w:t>QUIK</w:t>
            </w:r>
            <w:r w:rsidRPr="00560F4B">
              <w:rPr>
                <w:sz w:val="16"/>
                <w:szCs w:val="16"/>
              </w:rPr>
              <w:t xml:space="preserve"> </w:t>
            </w:r>
          </w:p>
        </w:tc>
        <w:tc>
          <w:tcPr>
            <w:tcW w:w="4082" w:type="dxa"/>
            <w:gridSpan w:val="2"/>
            <w:tcBorders>
              <w:top w:val="single" w:sz="4" w:space="0" w:color="auto"/>
            </w:tcBorders>
            <w:vAlign w:val="center"/>
          </w:tcPr>
          <w:p w:rsidR="009A7D14" w:rsidRPr="00560F4B" w:rsidDel="00A01531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  <w:r w:rsidRPr="00560F4B">
              <w:rPr>
                <w:sz w:val="16"/>
                <w:szCs w:val="16"/>
              </w:rPr>
              <w:t>0 рублей за одно поручение</w:t>
            </w:r>
          </w:p>
        </w:tc>
        <w:tc>
          <w:tcPr>
            <w:tcW w:w="3318" w:type="dxa"/>
            <w:tcBorders>
              <w:top w:val="single" w:sz="4" w:space="0" w:color="auto"/>
            </w:tcBorders>
            <w:vAlign w:val="center"/>
          </w:tcPr>
          <w:p w:rsidR="009A7D14" w:rsidRPr="00560F4B" w:rsidDel="00A01531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Взимается вне зависимости от срока действия поручения. Взимается вне зависимости от факта исполнения сделки по данному поручению. За отмену поручения на сделку комиссия не взимается.</w:t>
            </w:r>
          </w:p>
        </w:tc>
      </w:tr>
      <w:tr w:rsidR="009A7D14" w:rsidRPr="00560F4B" w:rsidTr="003F4808">
        <w:trPr>
          <w:trHeight w:val="70"/>
        </w:trPr>
        <w:tc>
          <w:tcPr>
            <w:tcW w:w="567" w:type="dxa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.5</w:t>
            </w:r>
            <w:r w:rsidRPr="00560F4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781" w:type="dxa"/>
            <w:gridSpan w:val="4"/>
            <w:vAlign w:val="center"/>
          </w:tcPr>
          <w:p w:rsidR="009A7D14" w:rsidRPr="003C6ABA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Действует </w:t>
            </w:r>
            <w:r w:rsidRPr="003C6ABA">
              <w:rPr>
                <w:sz w:val="16"/>
                <w:szCs w:val="16"/>
              </w:rPr>
              <w:t xml:space="preserve">совместно с тарифом на услуги депозитария «Тариф2». Иные операции оплачиваются в соответствии с </w:t>
            </w:r>
            <w:r w:rsidRPr="003C6ABA">
              <w:rPr>
                <w:i/>
                <w:sz w:val="16"/>
                <w:szCs w:val="16"/>
              </w:rPr>
              <w:t>Тарифными планами по депозитарному обслуживанию,</w:t>
            </w: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расположен</w:t>
            </w:r>
            <w:r w:rsidRPr="00713E97">
              <w:rPr>
                <w:sz w:val="16"/>
                <w:szCs w:val="16"/>
              </w:rPr>
              <w:t xml:space="preserve">ными в разделе </w:t>
            </w:r>
            <w:r>
              <w:rPr>
                <w:sz w:val="16"/>
                <w:szCs w:val="16"/>
              </w:rPr>
              <w:t xml:space="preserve">«Информация для клиентов» на сайте компании </w:t>
            </w:r>
            <w:hyperlink r:id="rId7" w:history="1">
              <w:r w:rsidRPr="00200F15">
                <w:rPr>
                  <w:rStyle w:val="aa"/>
                  <w:sz w:val="16"/>
                  <w:szCs w:val="16"/>
                  <w:lang w:val="en-US"/>
                </w:rPr>
                <w:t>www</w:t>
              </w:r>
              <w:r w:rsidRPr="00200F15">
                <w:rPr>
                  <w:rStyle w:val="aa"/>
                  <w:sz w:val="16"/>
                  <w:szCs w:val="16"/>
                </w:rPr>
                <w:t>.</w:t>
              </w:r>
              <w:r w:rsidRPr="00200F15">
                <w:rPr>
                  <w:rStyle w:val="aa"/>
                  <w:sz w:val="16"/>
                  <w:szCs w:val="16"/>
                  <w:lang w:val="en-US"/>
                </w:rPr>
                <w:t>avs</w:t>
              </w:r>
              <w:r w:rsidRPr="00200F15">
                <w:rPr>
                  <w:rStyle w:val="aa"/>
                  <w:sz w:val="16"/>
                  <w:szCs w:val="16"/>
                </w:rPr>
                <w:t>-</w:t>
              </w:r>
              <w:r w:rsidRPr="00200F15">
                <w:rPr>
                  <w:rStyle w:val="aa"/>
                  <w:sz w:val="16"/>
                  <w:szCs w:val="16"/>
                  <w:lang w:val="en-US"/>
                </w:rPr>
                <w:t>capital</w:t>
              </w:r>
              <w:r w:rsidRPr="00200F15">
                <w:rPr>
                  <w:rStyle w:val="aa"/>
                  <w:sz w:val="16"/>
                  <w:szCs w:val="16"/>
                </w:rPr>
                <w:t>.</w:t>
              </w:r>
              <w:r w:rsidRPr="00200F15">
                <w:rPr>
                  <w:rStyle w:val="aa"/>
                  <w:sz w:val="16"/>
                  <w:szCs w:val="16"/>
                  <w:lang w:val="en-US"/>
                </w:rPr>
                <w:t>ru</w:t>
              </w:r>
            </w:hyperlink>
            <w:r w:rsidRPr="003C6ABA">
              <w:rPr>
                <w:sz w:val="16"/>
                <w:szCs w:val="16"/>
              </w:rPr>
              <w:t xml:space="preserve"> </w:t>
            </w:r>
          </w:p>
        </w:tc>
      </w:tr>
    </w:tbl>
    <w:p w:rsidR="009A7D14" w:rsidRPr="00560F4B" w:rsidRDefault="009A7D14" w:rsidP="009A7D14">
      <w:pPr>
        <w:spacing w:before="120" w:after="60"/>
        <w:ind w:firstLine="567"/>
        <w:jc w:val="both"/>
        <w:rPr>
          <w:rFonts w:eastAsiaTheme="minorHAnsi"/>
          <w:sz w:val="16"/>
          <w:szCs w:val="16"/>
          <w:lang w:eastAsia="en-US"/>
        </w:rPr>
      </w:pPr>
      <w:r w:rsidRPr="00560F4B">
        <w:rPr>
          <w:rFonts w:eastAsiaTheme="minorHAnsi"/>
          <w:sz w:val="16"/>
          <w:szCs w:val="16"/>
          <w:lang w:eastAsia="en-US"/>
        </w:rPr>
        <w:t>Примечание:</w:t>
      </w:r>
    </w:p>
    <w:p w:rsidR="009A7D14" w:rsidRPr="00560F4B" w:rsidRDefault="009A7D14" w:rsidP="009A7D14">
      <w:pPr>
        <w:spacing w:before="60"/>
        <w:ind w:firstLine="567"/>
        <w:rPr>
          <w:sz w:val="16"/>
          <w:szCs w:val="16"/>
        </w:rPr>
      </w:pPr>
      <w:r w:rsidRPr="00560F4B">
        <w:rPr>
          <w:rFonts w:eastAsiaTheme="minorHAnsi"/>
          <w:sz w:val="16"/>
          <w:szCs w:val="16"/>
          <w:lang w:eastAsia="en-US"/>
        </w:rPr>
        <w:t>* Ключевая с</w:t>
      </w:r>
      <w:r w:rsidRPr="00560F4B">
        <w:rPr>
          <w:sz w:val="16"/>
          <w:szCs w:val="16"/>
        </w:rPr>
        <w:t xml:space="preserve">тавка Банка России (ключевая ставка БР) раскрывается на сайте </w:t>
      </w:r>
      <w:hyperlink r:id="rId8" w:history="1">
        <w:r w:rsidRPr="00560F4B">
          <w:rPr>
            <w:rStyle w:val="aa"/>
            <w:sz w:val="16"/>
            <w:szCs w:val="16"/>
          </w:rPr>
          <w:t>https://www.cbr.ru/hd_base/KeyRate/</w:t>
        </w:r>
      </w:hyperlink>
      <w:r w:rsidRPr="00560F4B">
        <w:rPr>
          <w:sz w:val="16"/>
          <w:szCs w:val="16"/>
        </w:rPr>
        <w:t>.</w:t>
      </w:r>
    </w:p>
    <w:p w:rsidR="009A7D14" w:rsidRPr="00560F4B" w:rsidRDefault="009A7D14" w:rsidP="009A7D14">
      <w:pPr>
        <w:spacing w:before="60"/>
        <w:ind w:firstLine="567"/>
        <w:jc w:val="both"/>
      </w:pPr>
      <w:r w:rsidRPr="00560F4B">
        <w:rPr>
          <w:sz w:val="16"/>
          <w:szCs w:val="16"/>
        </w:rPr>
        <w:t xml:space="preserve">** Комиссия включает расходы, которая несет Компания, связанные с переводом денежных средств </w:t>
      </w:r>
      <w:r>
        <w:rPr>
          <w:sz w:val="16"/>
          <w:szCs w:val="16"/>
        </w:rPr>
        <w:t xml:space="preserve">в рамках брокерского </w:t>
      </w:r>
      <w:r w:rsidRPr="00560F4B">
        <w:rPr>
          <w:sz w:val="16"/>
          <w:szCs w:val="16"/>
        </w:rPr>
        <w:t xml:space="preserve">счета Клиента. При существенном превышении затрат Компании на исполнение поручений Клиента над доходом Компании от исполнения сделок клиента на покупку/продажу иностранной валюты (в том числе затрат на перевод денежных средств </w:t>
      </w:r>
      <w:r>
        <w:rPr>
          <w:sz w:val="16"/>
          <w:szCs w:val="16"/>
        </w:rPr>
        <w:t>в рамках брокерского</w:t>
      </w:r>
      <w:r w:rsidRPr="00560F4B">
        <w:rPr>
          <w:sz w:val="16"/>
          <w:szCs w:val="16"/>
        </w:rPr>
        <w:t xml:space="preserve"> счета Клиента), Компания оставляет за собой право потребовать с Клиента оплатить затраты Компании в объеме, равном разнице между доходом Компании от исполнения поручения Клиента и расходом Компании, связанным с исполнением данного поручения.</w:t>
      </w:r>
    </w:p>
    <w:p w:rsidR="009A7D14" w:rsidRPr="00560F4B" w:rsidRDefault="009A7D14" w:rsidP="009A7D14">
      <w:pPr>
        <w:spacing w:before="120"/>
        <w:jc w:val="both"/>
        <w:rPr>
          <w:rFonts w:eastAsiaTheme="minorHAnsi"/>
          <w:sz w:val="16"/>
          <w:szCs w:val="16"/>
          <w:lang w:eastAsia="en-US"/>
        </w:rPr>
      </w:pPr>
    </w:p>
    <w:p w:rsidR="009A7D14" w:rsidRPr="00560F4B" w:rsidRDefault="009A7D14" w:rsidP="009A7D14">
      <w:pPr>
        <w:pStyle w:val="2"/>
      </w:pPr>
      <w:bookmarkStart w:id="4" w:name="_Toc175052061"/>
      <w:r w:rsidRPr="00560F4B">
        <w:t>Тарифный план «</w:t>
      </w:r>
      <w:r>
        <w:t>Стратегический</w:t>
      </w:r>
      <w:r w:rsidRPr="00560F4B">
        <w:t>»</w:t>
      </w:r>
      <w:bookmarkEnd w:id="4"/>
    </w:p>
    <w:p w:rsidR="009A7D14" w:rsidRPr="00560F4B" w:rsidRDefault="009A7D14" w:rsidP="009A7D14">
      <w:pPr>
        <w:jc w:val="both"/>
        <w:rPr>
          <w:rFonts w:eastAsiaTheme="minorHAnsi"/>
          <w:i/>
          <w:sz w:val="22"/>
          <w:szCs w:val="22"/>
          <w:lang w:eastAsia="en-US"/>
        </w:rPr>
      </w:pPr>
      <w:r w:rsidRPr="00560F4B">
        <w:rPr>
          <w:rFonts w:eastAsiaTheme="minorHAnsi"/>
          <w:i/>
          <w:sz w:val="22"/>
          <w:szCs w:val="22"/>
          <w:lang w:eastAsia="en-US"/>
        </w:rPr>
        <w:t>Рекомендован для Клиентов, имеющих опыт самостоятельной торговли и активно торгующих на финансовых рынках</w:t>
      </w:r>
      <w:r>
        <w:rPr>
          <w:rFonts w:eastAsiaTheme="minorHAnsi"/>
          <w:i/>
          <w:sz w:val="22"/>
          <w:szCs w:val="22"/>
          <w:lang w:eastAsia="en-US"/>
        </w:rPr>
        <w:t>.</w:t>
      </w:r>
    </w:p>
    <w:tbl>
      <w:tblPr>
        <w:tblStyle w:val="11"/>
        <w:tblW w:w="10348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694"/>
        <w:gridCol w:w="3134"/>
        <w:gridCol w:w="1802"/>
        <w:gridCol w:w="135"/>
        <w:gridCol w:w="276"/>
        <w:gridCol w:w="764"/>
        <w:gridCol w:w="61"/>
        <w:gridCol w:w="3482"/>
      </w:tblGrid>
      <w:tr w:rsidR="009A7D14" w:rsidRPr="00560F4B" w:rsidTr="003F4808">
        <w:trPr>
          <w:trHeight w:val="202"/>
        </w:trPr>
        <w:tc>
          <w:tcPr>
            <w:tcW w:w="10348" w:type="dxa"/>
            <w:gridSpan w:val="8"/>
            <w:shd w:val="clear" w:color="auto" w:fill="63002F"/>
            <w:vAlign w:val="center"/>
          </w:tcPr>
          <w:p w:rsidR="009A7D14" w:rsidRPr="00560F4B" w:rsidRDefault="009A7D14" w:rsidP="009A7D14">
            <w:pPr>
              <w:numPr>
                <w:ilvl w:val="0"/>
                <w:numId w:val="48"/>
              </w:numPr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Фондовый рынок ПАО Московская Биржа </w:t>
            </w:r>
          </w:p>
        </w:tc>
      </w:tr>
      <w:tr w:rsidR="009A7D14" w:rsidRPr="00560F4B" w:rsidTr="003F4808">
        <w:trPr>
          <w:trHeight w:val="227"/>
        </w:trPr>
        <w:tc>
          <w:tcPr>
            <w:tcW w:w="69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А.1.1</w:t>
            </w:r>
          </w:p>
        </w:tc>
        <w:tc>
          <w:tcPr>
            <w:tcW w:w="3134" w:type="dxa"/>
            <w:vMerge w:val="restart"/>
            <w:shd w:val="clear" w:color="auto" w:fill="auto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по сделкам с ценными бумагами (за исключением сделок РЕПО, РПС)</w:t>
            </w:r>
          </w:p>
        </w:tc>
        <w:tc>
          <w:tcPr>
            <w:tcW w:w="2977" w:type="dxa"/>
            <w:gridSpan w:val="4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сделки,%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Включает комиссию биржи.</w:t>
            </w:r>
          </w:p>
        </w:tc>
      </w:tr>
      <w:tr w:rsidR="009A7D14" w:rsidRPr="00560F4B" w:rsidTr="003F4808">
        <w:trPr>
          <w:trHeight w:val="430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shd w:val="clear" w:color="auto" w:fill="auto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3543" w:type="dxa"/>
            <w:gridSpan w:val="2"/>
            <w:vMerge/>
            <w:vAlign w:val="center"/>
          </w:tcPr>
          <w:p w:rsidR="009A7D14" w:rsidRPr="00560F4B" w:rsidRDefault="009A7D14" w:rsidP="003F4808">
            <w:pPr>
              <w:shd w:val="pct5" w:color="auto" w:fill="auto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85"/>
        </w:trPr>
        <w:tc>
          <w:tcPr>
            <w:tcW w:w="69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А.1.2</w:t>
            </w:r>
          </w:p>
        </w:tc>
        <w:tc>
          <w:tcPr>
            <w:tcW w:w="313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за совершение сделок переноса необеспеченной торговой позиции по денежным средствам или ценным бумагам</w:t>
            </w:r>
          </w:p>
        </w:tc>
        <w:tc>
          <w:tcPr>
            <w:tcW w:w="2977" w:type="dxa"/>
            <w:gridSpan w:val="4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сделки,% годовых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Взимается от суммы прямой сделки переноса необеспеченной позиции с учетом количества календарных дней переноса. Включает комиссию биржи.</w:t>
            </w:r>
          </w:p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Минимальная комиссия по сделке – 1</w:t>
            </w:r>
            <w:r>
              <w:rPr>
                <w:sz w:val="16"/>
                <w:szCs w:val="16"/>
              </w:rPr>
              <w:t>5</w:t>
            </w:r>
            <w:r w:rsidRPr="00560F4B">
              <w:rPr>
                <w:sz w:val="16"/>
                <w:szCs w:val="16"/>
              </w:rPr>
              <w:t xml:space="preserve"> руб.</w:t>
            </w:r>
          </w:p>
        </w:tc>
      </w:tr>
      <w:tr w:rsidR="009A7D14" w:rsidRPr="00560F4B" w:rsidTr="003F4808">
        <w:trPr>
          <w:trHeight w:val="682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9A7D14" w:rsidRPr="00560F4B" w:rsidRDefault="009A7D14" w:rsidP="003F4808">
            <w:pPr>
              <w:jc w:val="center"/>
              <w:rPr>
                <w:strike/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БР*+3%</w:t>
            </w:r>
          </w:p>
        </w:tc>
        <w:tc>
          <w:tcPr>
            <w:tcW w:w="3543" w:type="dxa"/>
            <w:gridSpan w:val="2"/>
            <w:vMerge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98"/>
        </w:trPr>
        <w:tc>
          <w:tcPr>
            <w:tcW w:w="10348" w:type="dxa"/>
            <w:gridSpan w:val="8"/>
            <w:shd w:val="clear" w:color="auto" w:fill="63002F"/>
            <w:vAlign w:val="center"/>
          </w:tcPr>
          <w:p w:rsidR="009A7D14" w:rsidRPr="00560F4B" w:rsidRDefault="009A7D14" w:rsidP="009A7D14">
            <w:pPr>
              <w:numPr>
                <w:ilvl w:val="0"/>
                <w:numId w:val="48"/>
              </w:numPr>
              <w:ind w:right="-41"/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Срочный рынок ПАО Московская Биржа</w:t>
            </w:r>
          </w:p>
        </w:tc>
      </w:tr>
      <w:tr w:rsidR="009A7D14" w:rsidRPr="00560F4B" w:rsidTr="003F4808">
        <w:trPr>
          <w:trHeight w:val="227"/>
        </w:trPr>
        <w:tc>
          <w:tcPr>
            <w:tcW w:w="69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А.2.1</w:t>
            </w:r>
          </w:p>
        </w:tc>
        <w:tc>
          <w:tcPr>
            <w:tcW w:w="313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по операциям с производными финансовыми инструментами</w:t>
            </w:r>
          </w:p>
        </w:tc>
        <w:tc>
          <w:tcPr>
            <w:tcW w:w="2977" w:type="dxa"/>
            <w:gridSpan w:val="4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Ставка, руб. за контракт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включает комиссию биржи.</w:t>
            </w:r>
          </w:p>
        </w:tc>
      </w:tr>
      <w:tr w:rsidR="009A7D14" w:rsidRPr="00560F4B" w:rsidTr="003F4808">
        <w:trPr>
          <w:trHeight w:val="399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</w:p>
        </w:tc>
        <w:tc>
          <w:tcPr>
            <w:tcW w:w="3543" w:type="dxa"/>
            <w:gridSpan w:val="2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25"/>
        </w:trPr>
        <w:tc>
          <w:tcPr>
            <w:tcW w:w="69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А.2.2</w:t>
            </w:r>
          </w:p>
        </w:tc>
        <w:tc>
          <w:tcPr>
            <w:tcW w:w="313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Комиссионное вознаграждение за предоставление поддерживающей маржи </w:t>
            </w:r>
          </w:p>
        </w:tc>
        <w:tc>
          <w:tcPr>
            <w:tcW w:w="2977" w:type="dxa"/>
            <w:gridSpan w:val="4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Ставка,% годовых</w:t>
            </w:r>
          </w:p>
        </w:tc>
        <w:tc>
          <w:tcPr>
            <w:tcW w:w="3543" w:type="dxa"/>
            <w:gridSpan w:val="2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Взимается ежедневно от величины рублевого недостатка средств гарантийного обеспечения на конец дня.</w:t>
            </w:r>
          </w:p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Внутри дня предоставляется бесплатно.</w:t>
            </w:r>
          </w:p>
        </w:tc>
      </w:tr>
      <w:tr w:rsidR="009A7D14" w:rsidRPr="00560F4B" w:rsidTr="003F4808">
        <w:trPr>
          <w:trHeight w:val="786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2977" w:type="dxa"/>
            <w:gridSpan w:val="4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Ключевая ставка БР*+3%</w:t>
            </w:r>
          </w:p>
        </w:tc>
        <w:tc>
          <w:tcPr>
            <w:tcW w:w="3543" w:type="dxa"/>
            <w:gridSpan w:val="2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98"/>
        </w:trPr>
        <w:tc>
          <w:tcPr>
            <w:tcW w:w="10348" w:type="dxa"/>
            <w:gridSpan w:val="8"/>
            <w:shd w:val="clear" w:color="auto" w:fill="63002F"/>
            <w:vAlign w:val="center"/>
          </w:tcPr>
          <w:p w:rsidR="009A7D14" w:rsidRPr="00560F4B" w:rsidRDefault="009A7D14" w:rsidP="009A7D14">
            <w:pPr>
              <w:numPr>
                <w:ilvl w:val="0"/>
                <w:numId w:val="48"/>
              </w:numPr>
              <w:ind w:right="-41"/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Валютный рынок и рынок драгоценных металлов ПАО Московская Биржа</w:t>
            </w:r>
          </w:p>
        </w:tc>
      </w:tr>
      <w:tr w:rsidR="009A7D14" w:rsidRPr="00560F4B" w:rsidTr="003F4808">
        <w:trPr>
          <w:trHeight w:val="200"/>
        </w:trPr>
        <w:tc>
          <w:tcPr>
            <w:tcW w:w="69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А.3.1</w:t>
            </w:r>
          </w:p>
        </w:tc>
        <w:tc>
          <w:tcPr>
            <w:tcW w:w="313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по сделкам с иностранными валютами**</w:t>
            </w:r>
          </w:p>
        </w:tc>
        <w:tc>
          <w:tcPr>
            <w:tcW w:w="1802" w:type="dxa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Дневной оборот, руб.</w:t>
            </w:r>
          </w:p>
        </w:tc>
        <w:tc>
          <w:tcPr>
            <w:tcW w:w="1236" w:type="dxa"/>
            <w:gridSpan w:val="4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сделки,%</w:t>
            </w:r>
          </w:p>
        </w:tc>
        <w:tc>
          <w:tcPr>
            <w:tcW w:w="3482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включает комиссию биржи.</w:t>
            </w:r>
          </w:p>
        </w:tc>
      </w:tr>
      <w:tr w:rsidR="009A7D14" w:rsidRPr="00560F4B" w:rsidTr="003F4808">
        <w:trPr>
          <w:trHeight w:val="306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  <w:lang w:val="en-US"/>
              </w:rPr>
            </w:pPr>
            <w:r w:rsidRPr="00560F4B">
              <w:rPr>
                <w:sz w:val="16"/>
                <w:szCs w:val="16"/>
              </w:rPr>
              <w:t>до 10 000 000</w:t>
            </w:r>
          </w:p>
        </w:tc>
        <w:tc>
          <w:tcPr>
            <w:tcW w:w="1236" w:type="dxa"/>
            <w:gridSpan w:val="4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306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10 000 000,01 до 25 000 000</w:t>
            </w:r>
          </w:p>
        </w:tc>
        <w:tc>
          <w:tcPr>
            <w:tcW w:w="1236" w:type="dxa"/>
            <w:gridSpan w:val="4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0,04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  <w:lang w:val="en-US"/>
              </w:rPr>
            </w:pPr>
          </w:p>
        </w:tc>
      </w:tr>
      <w:tr w:rsidR="009A7D14" w:rsidRPr="00560F4B" w:rsidTr="003F4808">
        <w:trPr>
          <w:trHeight w:val="306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25 000 000,01 до 200 000 000</w:t>
            </w:r>
          </w:p>
        </w:tc>
        <w:tc>
          <w:tcPr>
            <w:tcW w:w="1236" w:type="dxa"/>
            <w:gridSpan w:val="4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0,02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306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1802" w:type="dxa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200 000 000,01</w:t>
            </w:r>
          </w:p>
        </w:tc>
        <w:tc>
          <w:tcPr>
            <w:tcW w:w="1236" w:type="dxa"/>
            <w:gridSpan w:val="4"/>
            <w:shd w:val="clear" w:color="auto" w:fill="auto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0,01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95"/>
        </w:trPr>
        <w:tc>
          <w:tcPr>
            <w:tcW w:w="69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А.3.2</w:t>
            </w:r>
          </w:p>
        </w:tc>
        <w:tc>
          <w:tcPr>
            <w:tcW w:w="313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за совершение сделок переноса торговой позиции по покупке или продаже иностранной валюты и драгоценных металлов</w:t>
            </w:r>
          </w:p>
        </w:tc>
        <w:tc>
          <w:tcPr>
            <w:tcW w:w="3038" w:type="dxa"/>
            <w:gridSpan w:val="5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сделки,% годовых</w:t>
            </w:r>
          </w:p>
        </w:tc>
        <w:tc>
          <w:tcPr>
            <w:tcW w:w="3482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Взимается от суммы первой сделки с учетом количества календарных дней переноса. </w:t>
            </w:r>
          </w:p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Включает комиссию биржи.</w:t>
            </w:r>
          </w:p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Минимальная комиссия по сделке – </w:t>
            </w:r>
            <w:r>
              <w:rPr>
                <w:sz w:val="16"/>
                <w:szCs w:val="16"/>
              </w:rPr>
              <w:t>8</w:t>
            </w:r>
            <w:r w:rsidRPr="00560F4B">
              <w:rPr>
                <w:sz w:val="16"/>
                <w:szCs w:val="16"/>
              </w:rPr>
              <w:t>5 руб.</w:t>
            </w:r>
          </w:p>
        </w:tc>
      </w:tr>
      <w:tr w:rsidR="009A7D14" w:rsidRPr="00560F4B" w:rsidTr="003F4808">
        <w:trPr>
          <w:trHeight w:val="639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038" w:type="dxa"/>
            <w:gridSpan w:val="5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  <w:lang w:val="en-US"/>
              </w:rPr>
            </w:pPr>
            <w:r w:rsidRPr="00560F4B">
              <w:rPr>
                <w:sz w:val="16"/>
                <w:szCs w:val="16"/>
              </w:rPr>
              <w:t>Ключевая ставка БР*+3%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330"/>
        </w:trPr>
        <w:tc>
          <w:tcPr>
            <w:tcW w:w="69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А.3.3</w:t>
            </w:r>
          </w:p>
        </w:tc>
        <w:tc>
          <w:tcPr>
            <w:tcW w:w="313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по сделкам с драгоценными металлами</w:t>
            </w:r>
          </w:p>
        </w:tc>
        <w:tc>
          <w:tcPr>
            <w:tcW w:w="3038" w:type="dxa"/>
            <w:gridSpan w:val="5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сделки,%</w:t>
            </w:r>
          </w:p>
        </w:tc>
        <w:tc>
          <w:tcPr>
            <w:tcW w:w="3482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включает комиссию биржи.</w:t>
            </w:r>
          </w:p>
        </w:tc>
      </w:tr>
      <w:tr w:rsidR="009A7D14" w:rsidRPr="00560F4B" w:rsidTr="003F4808">
        <w:trPr>
          <w:trHeight w:val="300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038" w:type="dxa"/>
            <w:gridSpan w:val="5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202"/>
        </w:trPr>
        <w:tc>
          <w:tcPr>
            <w:tcW w:w="10348" w:type="dxa"/>
            <w:gridSpan w:val="8"/>
            <w:shd w:val="clear" w:color="auto" w:fill="63002F"/>
            <w:vAlign w:val="center"/>
          </w:tcPr>
          <w:p w:rsidR="009A7D14" w:rsidRPr="00560F4B" w:rsidRDefault="009A7D14" w:rsidP="009A7D14">
            <w:pPr>
              <w:numPr>
                <w:ilvl w:val="0"/>
                <w:numId w:val="48"/>
              </w:numPr>
              <w:ind w:right="-41"/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Внебиржевой рынок</w:t>
            </w:r>
          </w:p>
        </w:tc>
      </w:tr>
      <w:tr w:rsidR="009A7D14" w:rsidRPr="00560F4B" w:rsidTr="003F4808">
        <w:trPr>
          <w:trHeight w:val="60"/>
        </w:trPr>
        <w:tc>
          <w:tcPr>
            <w:tcW w:w="69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</w:t>
            </w:r>
            <w:r>
              <w:rPr>
                <w:sz w:val="16"/>
                <w:szCs w:val="16"/>
              </w:rPr>
              <w:t>4</w:t>
            </w:r>
            <w:r w:rsidRPr="00560F4B">
              <w:rPr>
                <w:sz w:val="16"/>
                <w:szCs w:val="16"/>
              </w:rPr>
              <w:t>.1</w:t>
            </w:r>
          </w:p>
        </w:tc>
        <w:tc>
          <w:tcPr>
            <w:tcW w:w="3134" w:type="dxa"/>
            <w:vMerge w:val="restart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Комиссионное вознаграждение от суммы гражданско-правовых сделок с ценными бумагами (кроме сделок с инвестиционными паями паевых инвестиционных фондов, коммерческими облигациями, структурными </w:t>
            </w:r>
            <w:r w:rsidRPr="00560F4B">
              <w:rPr>
                <w:sz w:val="16"/>
                <w:szCs w:val="16"/>
              </w:rPr>
              <w:lastRenderedPageBreak/>
              <w:t>облигациями) или от суммы договоров, являющихся производными финансовыми инструментами.</w:t>
            </w:r>
          </w:p>
        </w:tc>
        <w:tc>
          <w:tcPr>
            <w:tcW w:w="2213" w:type="dxa"/>
            <w:gridSpan w:val="3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lastRenderedPageBreak/>
              <w:t>Дневной оборот, руб.</w:t>
            </w:r>
          </w:p>
        </w:tc>
        <w:tc>
          <w:tcPr>
            <w:tcW w:w="825" w:type="dxa"/>
            <w:gridSpan w:val="2"/>
            <w:shd w:val="clear" w:color="auto" w:fill="D9D9D9" w:themeFill="background1" w:themeFillShade="D9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 от суммы сделки,%</w:t>
            </w:r>
          </w:p>
        </w:tc>
        <w:tc>
          <w:tcPr>
            <w:tcW w:w="3482" w:type="dxa"/>
            <w:vMerge w:val="restart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Объем сделки, выраженной в иностранной валюте, рассчитывается в день заключения сделки по курсу иностранной валюты к российскому рублю, установленному </w:t>
            </w:r>
            <w:r>
              <w:rPr>
                <w:sz w:val="16"/>
                <w:szCs w:val="16"/>
              </w:rPr>
              <w:t>Банком России</w:t>
            </w:r>
            <w:r w:rsidRPr="00560F4B">
              <w:rPr>
                <w:sz w:val="16"/>
                <w:szCs w:val="16"/>
              </w:rPr>
              <w:t xml:space="preserve"> на день заключения сделки </w:t>
            </w:r>
          </w:p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lastRenderedPageBreak/>
              <w:t xml:space="preserve">Размер ставки по конкретному выпуску структурной облигации и инвестиционному паю паевого инвестиционного фонда устанавливается Компанией самостоятельно и публикуется на </w:t>
            </w:r>
            <w:r w:rsidRPr="00560F4B">
              <w:rPr>
                <w:sz w:val="16"/>
                <w:szCs w:val="16"/>
                <w:lang w:val="en-US"/>
              </w:rPr>
              <w:t>WEB</w:t>
            </w:r>
            <w:r w:rsidRPr="00560F4B">
              <w:rPr>
                <w:sz w:val="16"/>
                <w:szCs w:val="16"/>
              </w:rPr>
              <w:t>-сайте Компании за 3 (Три) рабочих дня до применения комиссионного вознаграждения. Если размер ставки по конкретному выпуску структурной облигации и (или) инвестиционному паю паевого инвестиционного фонда не опубликованы Компанией, применяются ставки п.А.</w:t>
            </w:r>
            <w:r>
              <w:rPr>
                <w:sz w:val="16"/>
                <w:szCs w:val="16"/>
              </w:rPr>
              <w:t>4</w:t>
            </w:r>
            <w:r w:rsidRPr="00560F4B">
              <w:rPr>
                <w:sz w:val="16"/>
                <w:szCs w:val="16"/>
              </w:rPr>
              <w:t>.1</w:t>
            </w:r>
          </w:p>
        </w:tc>
      </w:tr>
      <w:tr w:rsidR="009A7D14" w:rsidRPr="00560F4B" w:rsidTr="003F4808">
        <w:trPr>
          <w:trHeight w:val="60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213" w:type="dxa"/>
            <w:gridSpan w:val="3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 3 000 000</w:t>
            </w:r>
          </w:p>
        </w:tc>
        <w:tc>
          <w:tcPr>
            <w:tcW w:w="825" w:type="dxa"/>
            <w:gridSpan w:val="2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0,3</w:t>
            </w:r>
            <w:r w:rsidRPr="00560F4B">
              <w:rPr>
                <w:sz w:val="16"/>
                <w:szCs w:val="16"/>
              </w:rPr>
              <w:t>0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60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</w:p>
        </w:tc>
        <w:tc>
          <w:tcPr>
            <w:tcW w:w="2213" w:type="dxa"/>
            <w:gridSpan w:val="3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от 3 000 000,</w:t>
            </w:r>
            <w:r w:rsidRPr="00560F4B">
              <w:rPr>
                <w:sz w:val="16"/>
                <w:szCs w:val="16"/>
              </w:rPr>
              <w:t>01</w:t>
            </w:r>
          </w:p>
        </w:tc>
        <w:tc>
          <w:tcPr>
            <w:tcW w:w="825" w:type="dxa"/>
            <w:gridSpan w:val="2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0,2</w:t>
            </w:r>
            <w:r w:rsidRPr="00560F4B">
              <w:rPr>
                <w:sz w:val="16"/>
                <w:szCs w:val="16"/>
              </w:rPr>
              <w:t>5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694" w:type="dxa"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lastRenderedPageBreak/>
              <w:t>А.</w:t>
            </w:r>
            <w:r>
              <w:rPr>
                <w:sz w:val="16"/>
                <w:szCs w:val="16"/>
              </w:rPr>
              <w:t>4</w:t>
            </w:r>
            <w:r w:rsidRPr="00560F4B">
              <w:rPr>
                <w:sz w:val="16"/>
                <w:szCs w:val="16"/>
              </w:rPr>
              <w:t>.2</w:t>
            </w:r>
          </w:p>
        </w:tc>
        <w:tc>
          <w:tcPr>
            <w:tcW w:w="3134" w:type="dxa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от суммы гражданско-правовых сделок с ценными бумагами, являющимися коммерческими облигациями</w:t>
            </w:r>
          </w:p>
        </w:tc>
        <w:tc>
          <w:tcPr>
            <w:tcW w:w="2213" w:type="dxa"/>
            <w:gridSpan w:val="3"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Вне зависимости от оборота</w:t>
            </w:r>
          </w:p>
        </w:tc>
        <w:tc>
          <w:tcPr>
            <w:tcW w:w="825" w:type="dxa"/>
            <w:gridSpan w:val="2"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0,4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694" w:type="dxa"/>
            <w:vAlign w:val="center"/>
          </w:tcPr>
          <w:p w:rsidR="009A7D14" w:rsidRPr="00560F4B" w:rsidRDefault="009A7D14" w:rsidP="003F4808">
            <w:pPr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</w:t>
            </w:r>
            <w:r>
              <w:rPr>
                <w:sz w:val="16"/>
                <w:szCs w:val="16"/>
              </w:rPr>
              <w:t>4</w:t>
            </w:r>
            <w:r w:rsidRPr="00560F4B">
              <w:rPr>
                <w:sz w:val="16"/>
                <w:szCs w:val="16"/>
              </w:rPr>
              <w:t>.3</w:t>
            </w:r>
          </w:p>
        </w:tc>
        <w:tc>
          <w:tcPr>
            <w:tcW w:w="3134" w:type="dxa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Комиссионное вознаграждение от суммы гражданско-правовых сделок с ценными бумагами, являющимися структурными облигациями (в том числе структурными облигациями иностранных эмитентов – структурными нотами) и инвестиционными паями паевых инвестиционных фондов.</w:t>
            </w:r>
          </w:p>
        </w:tc>
        <w:tc>
          <w:tcPr>
            <w:tcW w:w="2213" w:type="dxa"/>
            <w:gridSpan w:val="3"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Вне зависимости от оборота</w:t>
            </w:r>
          </w:p>
        </w:tc>
        <w:tc>
          <w:tcPr>
            <w:tcW w:w="825" w:type="dxa"/>
            <w:gridSpan w:val="2"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До 4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202"/>
        </w:trPr>
        <w:tc>
          <w:tcPr>
            <w:tcW w:w="10348" w:type="dxa"/>
            <w:gridSpan w:val="8"/>
            <w:shd w:val="clear" w:color="auto" w:fill="63002F"/>
            <w:vAlign w:val="center"/>
          </w:tcPr>
          <w:p w:rsidR="009A7D14" w:rsidRPr="00560F4B" w:rsidRDefault="009A7D14" w:rsidP="009A7D14">
            <w:pPr>
              <w:numPr>
                <w:ilvl w:val="0"/>
                <w:numId w:val="48"/>
              </w:numPr>
              <w:ind w:right="-41"/>
              <w:contextualSpacing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Дополнительные комиссии и условия</w:t>
            </w:r>
          </w:p>
        </w:tc>
      </w:tr>
      <w:tr w:rsidR="009A7D14" w:rsidRPr="00560F4B" w:rsidTr="003F4808">
        <w:trPr>
          <w:trHeight w:val="237"/>
        </w:trPr>
        <w:tc>
          <w:tcPr>
            <w:tcW w:w="694" w:type="dxa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.5</w:t>
            </w:r>
            <w:r w:rsidRPr="00560F4B">
              <w:rPr>
                <w:sz w:val="16"/>
                <w:szCs w:val="16"/>
              </w:rPr>
              <w:t>.1</w:t>
            </w:r>
          </w:p>
        </w:tc>
        <w:tc>
          <w:tcPr>
            <w:tcW w:w="3134" w:type="dxa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Минимальная сумма вознаграждения Брокера</w:t>
            </w:r>
          </w:p>
        </w:tc>
        <w:tc>
          <w:tcPr>
            <w:tcW w:w="3038" w:type="dxa"/>
            <w:gridSpan w:val="5"/>
            <w:shd w:val="clear" w:color="auto" w:fill="FFFFFF" w:themeFill="background1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482" w:type="dxa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25"/>
        </w:trPr>
        <w:tc>
          <w:tcPr>
            <w:tcW w:w="69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.5</w:t>
            </w:r>
            <w:r w:rsidRPr="00560F4B">
              <w:rPr>
                <w:sz w:val="16"/>
                <w:szCs w:val="16"/>
              </w:rPr>
              <w:t>.2</w:t>
            </w:r>
          </w:p>
        </w:tc>
        <w:tc>
          <w:tcPr>
            <w:tcW w:w="3134" w:type="dxa"/>
            <w:vMerge w:val="restart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Комиссия за ведение </w:t>
            </w:r>
            <w:r>
              <w:rPr>
                <w:sz w:val="16"/>
                <w:szCs w:val="16"/>
              </w:rPr>
              <w:t>брокерского</w:t>
            </w:r>
            <w:r w:rsidRPr="00560F4B">
              <w:rPr>
                <w:sz w:val="16"/>
                <w:szCs w:val="16"/>
              </w:rPr>
              <w:t xml:space="preserve"> счета Клиента</w:t>
            </w:r>
          </w:p>
        </w:tc>
        <w:tc>
          <w:tcPr>
            <w:tcW w:w="1937" w:type="dxa"/>
            <w:gridSpan w:val="2"/>
            <w:shd w:val="clear" w:color="auto" w:fill="BFBFBF" w:themeFill="background1" w:themeFillShade="BF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Оценка стоимости активов Клиента, руб.</w:t>
            </w:r>
          </w:p>
        </w:tc>
        <w:tc>
          <w:tcPr>
            <w:tcW w:w="1101" w:type="dxa"/>
            <w:gridSpan w:val="3"/>
            <w:shd w:val="clear" w:color="auto" w:fill="BFBFBF" w:themeFill="background1" w:themeFillShade="BF"/>
            <w:vAlign w:val="center"/>
          </w:tcPr>
          <w:p w:rsidR="009A7D14" w:rsidRPr="00560F4B" w:rsidRDefault="009A7D14" w:rsidP="003F4808">
            <w:pPr>
              <w:ind w:left="-108" w:right="-108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Ставка</w:t>
            </w:r>
          </w:p>
        </w:tc>
        <w:tc>
          <w:tcPr>
            <w:tcW w:w="3482" w:type="dxa"/>
            <w:vMerge w:val="restart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 месяц открытия договора не взимается. Оценка стоимости активов Клиента осуществляется на последний календарный день месяца.</w:t>
            </w:r>
          </w:p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Сумма вознаграждения Брокера взимается независимо от наличия или отсутствия заключенных сделок на биржевом или внебиржевом рынке.</w:t>
            </w:r>
          </w:p>
        </w:tc>
      </w:tr>
      <w:tr w:rsidR="009A7D14" w:rsidRPr="00560F4B" w:rsidTr="003F4808">
        <w:trPr>
          <w:trHeight w:val="125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до 3 000 000</w:t>
            </w:r>
          </w:p>
        </w:tc>
        <w:tc>
          <w:tcPr>
            <w:tcW w:w="1101" w:type="dxa"/>
            <w:gridSpan w:val="3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3 </w:t>
            </w:r>
            <w:r>
              <w:rPr>
                <w:sz w:val="16"/>
                <w:szCs w:val="16"/>
              </w:rPr>
              <w:t>5</w:t>
            </w:r>
            <w:r w:rsidRPr="00560F4B">
              <w:rPr>
                <w:sz w:val="16"/>
                <w:szCs w:val="16"/>
              </w:rPr>
              <w:t>00 руб./месяц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125"/>
        </w:trPr>
        <w:tc>
          <w:tcPr>
            <w:tcW w:w="69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3134" w:type="dxa"/>
            <w:vMerge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</w:p>
        </w:tc>
        <w:tc>
          <w:tcPr>
            <w:tcW w:w="1937" w:type="dxa"/>
            <w:gridSpan w:val="2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от 3 000 000,01</w:t>
            </w:r>
          </w:p>
        </w:tc>
        <w:tc>
          <w:tcPr>
            <w:tcW w:w="1101" w:type="dxa"/>
            <w:gridSpan w:val="3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0</w:t>
            </w:r>
          </w:p>
        </w:tc>
        <w:tc>
          <w:tcPr>
            <w:tcW w:w="3482" w:type="dxa"/>
            <w:vMerge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694" w:type="dxa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.5</w:t>
            </w:r>
            <w:r w:rsidRPr="00560F4B">
              <w:rPr>
                <w:sz w:val="16"/>
                <w:szCs w:val="16"/>
              </w:rPr>
              <w:t>.3</w:t>
            </w:r>
          </w:p>
        </w:tc>
        <w:tc>
          <w:tcPr>
            <w:tcW w:w="3134" w:type="dxa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Исполнение Поручения клиента на отзыв денежных средств, номинированных в рублях</w:t>
            </w:r>
          </w:p>
        </w:tc>
        <w:tc>
          <w:tcPr>
            <w:tcW w:w="3038" w:type="dxa"/>
            <w:gridSpan w:val="5"/>
            <w:vAlign w:val="center"/>
          </w:tcPr>
          <w:p w:rsidR="009A7D14" w:rsidRPr="00560F4B" w:rsidRDefault="009A7D14" w:rsidP="003F4808">
            <w:pPr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Не взимается</w:t>
            </w:r>
          </w:p>
        </w:tc>
        <w:tc>
          <w:tcPr>
            <w:tcW w:w="3482" w:type="dxa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</w:p>
        </w:tc>
      </w:tr>
      <w:tr w:rsidR="009A7D14" w:rsidRPr="00560F4B" w:rsidTr="003F4808">
        <w:trPr>
          <w:trHeight w:val="70"/>
        </w:trPr>
        <w:tc>
          <w:tcPr>
            <w:tcW w:w="694" w:type="dxa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А.</w:t>
            </w:r>
            <w:r>
              <w:rPr>
                <w:sz w:val="16"/>
                <w:szCs w:val="16"/>
              </w:rPr>
              <w:t>5</w:t>
            </w:r>
            <w:r w:rsidRPr="00560F4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4</w:t>
            </w:r>
            <w:r w:rsidRPr="00560F4B">
              <w:rPr>
                <w:sz w:val="16"/>
                <w:szCs w:val="16"/>
              </w:rPr>
              <w:t>.</w:t>
            </w:r>
          </w:p>
        </w:tc>
        <w:tc>
          <w:tcPr>
            <w:tcW w:w="3134" w:type="dxa"/>
            <w:vAlign w:val="center"/>
          </w:tcPr>
          <w:p w:rsidR="009A7D14" w:rsidRPr="00E926EF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Комиссионное вознаграждение за принятие торговых поручений Клиента, направленных Компании способом, отличным от передачи поручений Клиента посредством ИТС </w:t>
            </w:r>
            <w:r w:rsidRPr="00560F4B">
              <w:rPr>
                <w:sz w:val="16"/>
                <w:szCs w:val="16"/>
                <w:lang w:val="en-US"/>
              </w:rPr>
              <w:t>QUIK</w:t>
            </w:r>
          </w:p>
        </w:tc>
        <w:tc>
          <w:tcPr>
            <w:tcW w:w="3038" w:type="dxa"/>
            <w:gridSpan w:val="5"/>
            <w:vAlign w:val="center"/>
          </w:tcPr>
          <w:p w:rsidR="009A7D14" w:rsidRPr="00560F4B" w:rsidRDefault="009A7D14" w:rsidP="003F4808">
            <w:pPr>
              <w:ind w:right="-41"/>
              <w:jc w:val="center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1</w:t>
            </w:r>
            <w:r>
              <w:rPr>
                <w:sz w:val="16"/>
                <w:szCs w:val="16"/>
              </w:rPr>
              <w:t>5</w:t>
            </w:r>
            <w:r w:rsidRPr="00560F4B">
              <w:rPr>
                <w:sz w:val="16"/>
                <w:szCs w:val="16"/>
              </w:rPr>
              <w:t>0 рублей за одно поручение</w:t>
            </w:r>
          </w:p>
        </w:tc>
        <w:tc>
          <w:tcPr>
            <w:tcW w:w="3482" w:type="dxa"/>
            <w:vAlign w:val="center"/>
          </w:tcPr>
          <w:p w:rsidR="009A7D14" w:rsidRPr="00560F4B" w:rsidRDefault="009A7D14" w:rsidP="003F4808">
            <w:pPr>
              <w:ind w:right="-41"/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Взимается вне зависимости от срока действия поручения. Взимается вне зависимости от факта исполнения сделки по данному поручению. За отмену поручения на сделку комиссия не взимается.</w:t>
            </w:r>
          </w:p>
        </w:tc>
      </w:tr>
      <w:tr w:rsidR="009A7D14" w:rsidRPr="00560F4B" w:rsidTr="003F4808">
        <w:trPr>
          <w:trHeight w:val="70"/>
        </w:trPr>
        <w:tc>
          <w:tcPr>
            <w:tcW w:w="694" w:type="dxa"/>
            <w:vAlign w:val="center"/>
          </w:tcPr>
          <w:p w:rsidR="009A7D14" w:rsidRPr="00560F4B" w:rsidRDefault="009A7D14" w:rsidP="003F4808">
            <w:pPr>
              <w:ind w:right="-41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>А</w:t>
            </w:r>
            <w:r>
              <w:rPr>
                <w:sz w:val="16"/>
                <w:szCs w:val="16"/>
              </w:rPr>
              <w:t>.5</w:t>
            </w:r>
            <w:r w:rsidRPr="00560F4B">
              <w:rPr>
                <w:sz w:val="16"/>
                <w:szCs w:val="16"/>
              </w:rPr>
              <w:t>.</w:t>
            </w:r>
            <w:r>
              <w:rPr>
                <w:sz w:val="16"/>
                <w:szCs w:val="16"/>
              </w:rPr>
              <w:t>5</w:t>
            </w:r>
            <w:r w:rsidRPr="00560F4B">
              <w:rPr>
                <w:sz w:val="16"/>
                <w:szCs w:val="16"/>
              </w:rPr>
              <w:t>.</w:t>
            </w:r>
          </w:p>
        </w:tc>
        <w:tc>
          <w:tcPr>
            <w:tcW w:w="9654" w:type="dxa"/>
            <w:gridSpan w:val="7"/>
            <w:vAlign w:val="center"/>
          </w:tcPr>
          <w:p w:rsidR="009A7D14" w:rsidRPr="00560F4B" w:rsidRDefault="009A7D14" w:rsidP="003F4808">
            <w:pPr>
              <w:jc w:val="both"/>
              <w:rPr>
                <w:sz w:val="16"/>
                <w:szCs w:val="16"/>
              </w:rPr>
            </w:pPr>
            <w:r w:rsidRPr="00560F4B">
              <w:rPr>
                <w:sz w:val="16"/>
                <w:szCs w:val="16"/>
              </w:rPr>
              <w:t xml:space="preserve">Действует </w:t>
            </w:r>
            <w:r w:rsidRPr="003C6ABA">
              <w:rPr>
                <w:sz w:val="16"/>
                <w:szCs w:val="16"/>
              </w:rPr>
              <w:t xml:space="preserve">совместно с тарифом на услуги депозитария «Тариф2». Иные операции оплачиваются в соответствии с </w:t>
            </w:r>
            <w:r w:rsidRPr="003C6ABA">
              <w:rPr>
                <w:i/>
                <w:sz w:val="16"/>
                <w:szCs w:val="16"/>
              </w:rPr>
              <w:t>Тарифными планами по депозитарному обслуживанию,</w:t>
            </w:r>
            <w:r>
              <w:rPr>
                <w:i/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расположен</w:t>
            </w:r>
            <w:r w:rsidRPr="00713E97">
              <w:rPr>
                <w:sz w:val="16"/>
                <w:szCs w:val="16"/>
              </w:rPr>
              <w:t xml:space="preserve">ными в разделе </w:t>
            </w:r>
            <w:r>
              <w:rPr>
                <w:sz w:val="16"/>
                <w:szCs w:val="16"/>
              </w:rPr>
              <w:t xml:space="preserve">«Информация для клиентов» на сайте компании </w:t>
            </w:r>
            <w:hyperlink r:id="rId9" w:history="1">
              <w:r w:rsidRPr="00200F15">
                <w:rPr>
                  <w:rStyle w:val="aa"/>
                  <w:sz w:val="16"/>
                  <w:szCs w:val="16"/>
                  <w:lang w:val="en-US"/>
                </w:rPr>
                <w:t>www</w:t>
              </w:r>
              <w:r w:rsidRPr="00200F15">
                <w:rPr>
                  <w:rStyle w:val="aa"/>
                  <w:sz w:val="16"/>
                  <w:szCs w:val="16"/>
                </w:rPr>
                <w:t>.</w:t>
              </w:r>
              <w:r w:rsidRPr="00200F15">
                <w:rPr>
                  <w:rStyle w:val="aa"/>
                  <w:sz w:val="16"/>
                  <w:szCs w:val="16"/>
                  <w:lang w:val="en-US"/>
                </w:rPr>
                <w:t>avs</w:t>
              </w:r>
              <w:r w:rsidRPr="00200F15">
                <w:rPr>
                  <w:rStyle w:val="aa"/>
                  <w:sz w:val="16"/>
                  <w:szCs w:val="16"/>
                </w:rPr>
                <w:t>-</w:t>
              </w:r>
              <w:r w:rsidRPr="00200F15">
                <w:rPr>
                  <w:rStyle w:val="aa"/>
                  <w:sz w:val="16"/>
                  <w:szCs w:val="16"/>
                  <w:lang w:val="en-US"/>
                </w:rPr>
                <w:t>capital</w:t>
              </w:r>
              <w:r w:rsidRPr="00200F15">
                <w:rPr>
                  <w:rStyle w:val="aa"/>
                  <w:sz w:val="16"/>
                  <w:szCs w:val="16"/>
                </w:rPr>
                <w:t>.</w:t>
              </w:r>
              <w:r w:rsidRPr="00200F15">
                <w:rPr>
                  <w:rStyle w:val="aa"/>
                  <w:sz w:val="16"/>
                  <w:szCs w:val="16"/>
                  <w:lang w:val="en-US"/>
                </w:rPr>
                <w:t>ru</w:t>
              </w:r>
            </w:hyperlink>
          </w:p>
        </w:tc>
      </w:tr>
    </w:tbl>
    <w:p w:rsidR="009A7D14" w:rsidRPr="00560F4B" w:rsidRDefault="009A7D14" w:rsidP="009A7D14">
      <w:pPr>
        <w:spacing w:before="120" w:after="120"/>
        <w:ind w:firstLine="567"/>
        <w:jc w:val="both"/>
        <w:rPr>
          <w:rFonts w:eastAsiaTheme="minorHAnsi"/>
          <w:sz w:val="16"/>
          <w:szCs w:val="16"/>
          <w:lang w:eastAsia="en-US"/>
        </w:rPr>
      </w:pPr>
      <w:r w:rsidRPr="00560F4B">
        <w:rPr>
          <w:rFonts w:eastAsiaTheme="minorHAnsi"/>
          <w:sz w:val="16"/>
          <w:szCs w:val="16"/>
          <w:lang w:eastAsia="en-US"/>
        </w:rPr>
        <w:t>Примечание:</w:t>
      </w:r>
    </w:p>
    <w:p w:rsidR="009A7D14" w:rsidRPr="00560F4B" w:rsidRDefault="009A7D14" w:rsidP="009A7D14">
      <w:pPr>
        <w:spacing w:before="120" w:after="120"/>
        <w:ind w:firstLine="567"/>
        <w:jc w:val="both"/>
        <w:rPr>
          <w:sz w:val="16"/>
          <w:szCs w:val="16"/>
        </w:rPr>
      </w:pPr>
      <w:r w:rsidRPr="00560F4B">
        <w:rPr>
          <w:rFonts w:eastAsiaTheme="minorHAnsi"/>
          <w:sz w:val="16"/>
          <w:szCs w:val="16"/>
          <w:lang w:eastAsia="en-US"/>
        </w:rPr>
        <w:t>* Ключевая с</w:t>
      </w:r>
      <w:r w:rsidRPr="00560F4B">
        <w:rPr>
          <w:sz w:val="16"/>
          <w:szCs w:val="16"/>
        </w:rPr>
        <w:t xml:space="preserve">тавка Банка России (ключевая ставка БР) раскрывается на сайте </w:t>
      </w:r>
      <w:hyperlink r:id="rId10" w:history="1">
        <w:r w:rsidRPr="00560F4B">
          <w:rPr>
            <w:rStyle w:val="aa"/>
            <w:sz w:val="16"/>
            <w:szCs w:val="16"/>
          </w:rPr>
          <w:t>https://www.cbr.ru/hd_base/KeyRate/</w:t>
        </w:r>
      </w:hyperlink>
      <w:r w:rsidRPr="00560F4B">
        <w:rPr>
          <w:sz w:val="16"/>
          <w:szCs w:val="16"/>
        </w:rPr>
        <w:t>.</w:t>
      </w:r>
    </w:p>
    <w:p w:rsidR="009A7D14" w:rsidRPr="00560F4B" w:rsidRDefault="009A7D14" w:rsidP="009A7D14">
      <w:pPr>
        <w:spacing w:before="60"/>
        <w:ind w:firstLine="567"/>
        <w:jc w:val="both"/>
      </w:pPr>
      <w:r w:rsidRPr="00560F4B">
        <w:rPr>
          <w:sz w:val="16"/>
          <w:szCs w:val="16"/>
        </w:rPr>
        <w:t xml:space="preserve">** Комиссия включает расходы, которая несет Компания, связанные с переводом денежных средств </w:t>
      </w:r>
      <w:r>
        <w:rPr>
          <w:sz w:val="16"/>
          <w:szCs w:val="16"/>
        </w:rPr>
        <w:t xml:space="preserve">в рамках брокерского </w:t>
      </w:r>
      <w:r w:rsidRPr="00560F4B">
        <w:rPr>
          <w:sz w:val="16"/>
          <w:szCs w:val="16"/>
        </w:rPr>
        <w:t xml:space="preserve">счета Клиента. При существенном превышении затрат Компании на исполнение поручений Клиента над доходом Компании от исполнения сделок клиента на покупку/продажу иностранной валюты (в том числе затрат на перевод денежных средств </w:t>
      </w:r>
      <w:r>
        <w:rPr>
          <w:sz w:val="16"/>
          <w:szCs w:val="16"/>
        </w:rPr>
        <w:t xml:space="preserve">в рамках брокерского </w:t>
      </w:r>
      <w:r w:rsidRPr="00560F4B">
        <w:rPr>
          <w:sz w:val="16"/>
          <w:szCs w:val="16"/>
        </w:rPr>
        <w:t>счета Клиента), Компания оставляет за собой право потребовать с Клиента оплатить затраты Компании в объеме, равном разнице между доходом Компании от исполнения поручения Клиента и расходом Компании, связанным с исполнением данного поручения.</w:t>
      </w:r>
    </w:p>
    <w:p w:rsidR="009A7D14" w:rsidRPr="00921C6E" w:rsidRDefault="009A7D14" w:rsidP="009A7D14">
      <w:pPr>
        <w:pStyle w:val="a3"/>
        <w:rPr>
          <w:sz w:val="20"/>
          <w:szCs w:val="20"/>
        </w:rPr>
      </w:pPr>
    </w:p>
    <w:tbl>
      <w:tblPr>
        <w:tblW w:w="10207" w:type="dxa"/>
        <w:tblLook w:val="01E0" w:firstRow="1" w:lastRow="1" w:firstColumn="1" w:lastColumn="1" w:noHBand="0" w:noVBand="0"/>
      </w:tblPr>
      <w:tblGrid>
        <w:gridCol w:w="5245"/>
        <w:gridCol w:w="4962"/>
      </w:tblGrid>
      <w:tr w:rsidR="009A7D14" w:rsidRPr="00921C6E" w:rsidTr="003F4808">
        <w:trPr>
          <w:trHeight w:val="263"/>
        </w:trPr>
        <w:tc>
          <w:tcPr>
            <w:tcW w:w="5245" w:type="dxa"/>
            <w:shd w:val="clear" w:color="auto" w:fill="auto"/>
          </w:tcPr>
          <w:p w:rsidR="009A7D14" w:rsidRPr="00921C6E" w:rsidRDefault="009A7D14" w:rsidP="003F4808">
            <w:pPr>
              <w:pStyle w:val="100"/>
              <w:rPr>
                <w:b/>
                <w:szCs w:val="20"/>
              </w:rPr>
            </w:pPr>
            <w:r w:rsidRPr="00921C6E">
              <w:rPr>
                <w:b/>
                <w:szCs w:val="20"/>
              </w:rPr>
              <w:t>Клиент:</w:t>
            </w:r>
          </w:p>
        </w:tc>
        <w:tc>
          <w:tcPr>
            <w:tcW w:w="4962" w:type="dxa"/>
          </w:tcPr>
          <w:p w:rsidR="009A7D14" w:rsidRPr="00921C6E" w:rsidRDefault="009A7D14" w:rsidP="003F4808">
            <w:pPr>
              <w:pStyle w:val="100"/>
              <w:rPr>
                <w:b/>
                <w:szCs w:val="20"/>
              </w:rPr>
            </w:pPr>
            <w:r w:rsidRPr="00921C6E">
              <w:rPr>
                <w:b/>
                <w:szCs w:val="20"/>
              </w:rPr>
              <w:t>Брокер:</w:t>
            </w:r>
          </w:p>
        </w:tc>
      </w:tr>
      <w:tr w:rsidR="009A7D14" w:rsidRPr="00921C6E" w:rsidTr="003F4808">
        <w:trPr>
          <w:trHeight w:val="457"/>
        </w:trPr>
        <w:tc>
          <w:tcPr>
            <w:tcW w:w="5245" w:type="dxa"/>
            <w:shd w:val="clear" w:color="auto" w:fill="auto"/>
          </w:tcPr>
          <w:p w:rsidR="009A7D14" w:rsidRPr="00921C6E" w:rsidRDefault="009A7D14" w:rsidP="003F4808">
            <w:pPr>
              <w:pStyle w:val="a3"/>
              <w:rPr>
                <w:sz w:val="20"/>
                <w:szCs w:val="20"/>
              </w:rPr>
            </w:pPr>
          </w:p>
          <w:p w:rsidR="009A7D14" w:rsidRPr="00921C6E" w:rsidRDefault="009A7D14" w:rsidP="003F4808">
            <w:pPr>
              <w:pStyle w:val="a3"/>
              <w:rPr>
                <w:sz w:val="20"/>
                <w:szCs w:val="20"/>
              </w:rPr>
            </w:pPr>
            <w:r w:rsidRPr="00921C6E">
              <w:rPr>
                <w:sz w:val="20"/>
                <w:szCs w:val="20"/>
              </w:rPr>
              <w:t>Подпись _____________________ / ________________/</w:t>
            </w:r>
          </w:p>
          <w:p w:rsidR="009A7D14" w:rsidRPr="00921C6E" w:rsidRDefault="009A7D14" w:rsidP="003F4808">
            <w:pPr>
              <w:pStyle w:val="a3"/>
              <w:rPr>
                <w:i/>
                <w:sz w:val="16"/>
                <w:szCs w:val="16"/>
              </w:rPr>
            </w:pPr>
            <w:r w:rsidRPr="00921C6E">
              <w:rPr>
                <w:i/>
                <w:sz w:val="20"/>
                <w:szCs w:val="20"/>
              </w:rPr>
              <w:t xml:space="preserve">                                  </w:t>
            </w:r>
            <w:r>
              <w:rPr>
                <w:i/>
                <w:sz w:val="20"/>
                <w:szCs w:val="20"/>
              </w:rPr>
              <w:t xml:space="preserve">    </w:t>
            </w:r>
            <w:r w:rsidRPr="00921C6E">
              <w:rPr>
                <w:i/>
                <w:sz w:val="20"/>
                <w:szCs w:val="20"/>
              </w:rPr>
              <w:t xml:space="preserve">                              </w:t>
            </w:r>
            <w:r w:rsidRPr="00921C6E">
              <w:rPr>
                <w:i/>
                <w:sz w:val="16"/>
                <w:szCs w:val="16"/>
              </w:rPr>
              <w:t xml:space="preserve">Ф.И.О. </w:t>
            </w:r>
          </w:p>
          <w:p w:rsidR="009A7D14" w:rsidRPr="00921C6E" w:rsidRDefault="009A7D14" w:rsidP="003F4808">
            <w:pPr>
              <w:pStyle w:val="a3"/>
              <w:rPr>
                <w:sz w:val="20"/>
                <w:szCs w:val="20"/>
              </w:rPr>
            </w:pPr>
            <w:r w:rsidRPr="00921C6E">
              <w:rPr>
                <w:sz w:val="20"/>
                <w:szCs w:val="20"/>
              </w:rPr>
              <w:t xml:space="preserve">м.п.                                       </w:t>
            </w:r>
          </w:p>
        </w:tc>
        <w:tc>
          <w:tcPr>
            <w:tcW w:w="4962" w:type="dxa"/>
          </w:tcPr>
          <w:p w:rsidR="009A7D14" w:rsidRPr="00921C6E" w:rsidRDefault="009A7D14" w:rsidP="003F4808">
            <w:pPr>
              <w:pStyle w:val="a3"/>
              <w:rPr>
                <w:sz w:val="20"/>
                <w:szCs w:val="20"/>
              </w:rPr>
            </w:pPr>
          </w:p>
          <w:p w:rsidR="009A7D14" w:rsidRPr="00921C6E" w:rsidRDefault="009A7D14" w:rsidP="003F4808">
            <w:pPr>
              <w:pStyle w:val="a3"/>
              <w:rPr>
                <w:sz w:val="20"/>
                <w:szCs w:val="20"/>
              </w:rPr>
            </w:pPr>
            <w:r w:rsidRPr="00921C6E">
              <w:rPr>
                <w:sz w:val="20"/>
                <w:szCs w:val="20"/>
              </w:rPr>
              <w:t>Подпись</w:t>
            </w:r>
            <w:r>
              <w:rPr>
                <w:sz w:val="20"/>
                <w:szCs w:val="20"/>
              </w:rPr>
              <w:t xml:space="preserve"> </w:t>
            </w:r>
            <w:r w:rsidRPr="00921C6E">
              <w:rPr>
                <w:sz w:val="20"/>
                <w:szCs w:val="20"/>
              </w:rPr>
              <w:t>___________________ / _________________/</w:t>
            </w:r>
          </w:p>
          <w:p w:rsidR="009A7D14" w:rsidRPr="00921C6E" w:rsidRDefault="009A7D14" w:rsidP="003F4808">
            <w:pPr>
              <w:pStyle w:val="a3"/>
              <w:rPr>
                <w:i/>
                <w:sz w:val="16"/>
                <w:szCs w:val="16"/>
              </w:rPr>
            </w:pPr>
            <w:r w:rsidRPr="00921C6E">
              <w:rPr>
                <w:i/>
                <w:sz w:val="16"/>
                <w:szCs w:val="16"/>
              </w:rPr>
              <w:t xml:space="preserve">                                                                                       Ф.И.О. </w:t>
            </w:r>
          </w:p>
          <w:p w:rsidR="009A7D14" w:rsidRPr="00921C6E" w:rsidRDefault="009A7D14" w:rsidP="003F4808">
            <w:pPr>
              <w:pStyle w:val="a3"/>
              <w:rPr>
                <w:sz w:val="20"/>
                <w:szCs w:val="20"/>
              </w:rPr>
            </w:pPr>
            <w:r w:rsidRPr="00921C6E">
              <w:rPr>
                <w:sz w:val="20"/>
                <w:szCs w:val="20"/>
              </w:rPr>
              <w:t xml:space="preserve">м.п.                                       </w:t>
            </w:r>
          </w:p>
        </w:tc>
      </w:tr>
    </w:tbl>
    <w:p w:rsidR="009A7D14" w:rsidRPr="00921C6E" w:rsidRDefault="009A7D14" w:rsidP="009A7D14"/>
    <w:p w:rsidR="002E676B" w:rsidRPr="009A7D14" w:rsidRDefault="002E676B" w:rsidP="009A7D14"/>
    <w:sectPr w:rsidR="002E676B" w:rsidRPr="009A7D14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02F7F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1C87E95"/>
    <w:multiLevelType w:val="hybridMultilevel"/>
    <w:tmpl w:val="C1DE0D6C"/>
    <w:lvl w:ilvl="0" w:tplc="899EEF42">
      <w:start w:val="1"/>
      <w:numFmt w:val="decimal"/>
      <w:lvlText w:val="5.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8B669C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059A2576"/>
    <w:multiLevelType w:val="hybridMultilevel"/>
    <w:tmpl w:val="3F76E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6D3C2A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0B057B61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0B2536C9"/>
    <w:multiLevelType w:val="hybridMultilevel"/>
    <w:tmpl w:val="A912855E"/>
    <w:lvl w:ilvl="0" w:tplc="B9F0DC94">
      <w:start w:val="1"/>
      <w:numFmt w:val="decimal"/>
      <w:lvlText w:val="4.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323D2A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0E630D8C"/>
    <w:multiLevelType w:val="hybridMultilevel"/>
    <w:tmpl w:val="D32835A2"/>
    <w:lvl w:ilvl="0" w:tplc="AC002016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F172208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1354416D"/>
    <w:multiLevelType w:val="hybridMultilevel"/>
    <w:tmpl w:val="4328CBD4"/>
    <w:lvl w:ilvl="0" w:tplc="7284CC9E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899EEF42">
      <w:start w:val="1"/>
      <w:numFmt w:val="decimal"/>
      <w:lvlText w:val="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ACE7F5B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1F20355F"/>
    <w:multiLevelType w:val="hybridMultilevel"/>
    <w:tmpl w:val="6750D8C2"/>
    <w:lvl w:ilvl="0" w:tplc="37C4E27A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F466D80"/>
    <w:multiLevelType w:val="hybridMultilevel"/>
    <w:tmpl w:val="B62C481A"/>
    <w:lvl w:ilvl="0" w:tplc="A2A4E306">
      <w:start w:val="1"/>
      <w:numFmt w:val="decimal"/>
      <w:lvlText w:val="3.%1."/>
      <w:lvlJc w:val="left"/>
      <w:pPr>
        <w:ind w:left="1440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07F5DE2"/>
    <w:multiLevelType w:val="hybridMultilevel"/>
    <w:tmpl w:val="6750D8C2"/>
    <w:lvl w:ilvl="0" w:tplc="37C4E27A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225E1CD1"/>
    <w:multiLevelType w:val="multilevel"/>
    <w:tmpl w:val="4C6A0A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6" w15:restartNumberingAfterBreak="0">
    <w:nsid w:val="259C06D2"/>
    <w:multiLevelType w:val="hybridMultilevel"/>
    <w:tmpl w:val="87401D26"/>
    <w:lvl w:ilvl="0" w:tplc="9C70ED0C">
      <w:start w:val="1"/>
      <w:numFmt w:val="decimal"/>
      <w:lvlText w:val="7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16621C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280162FA"/>
    <w:multiLevelType w:val="hybridMultilevel"/>
    <w:tmpl w:val="DB8C4CF0"/>
    <w:lvl w:ilvl="0" w:tplc="E012A98A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87B2741"/>
    <w:multiLevelType w:val="multilevel"/>
    <w:tmpl w:val="4C6A0A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2E0668CE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2F0D380A"/>
    <w:multiLevelType w:val="hybridMultilevel"/>
    <w:tmpl w:val="990CE222"/>
    <w:lvl w:ilvl="0" w:tplc="7DF6E47A">
      <w:start w:val="1"/>
      <w:numFmt w:val="decimal"/>
      <w:lvlText w:val="8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24D7EF2"/>
    <w:multiLevelType w:val="hybridMultilevel"/>
    <w:tmpl w:val="A594CB0C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1">
      <w:start w:val="1"/>
      <w:numFmt w:val="decimal"/>
      <w:lvlText w:val="%2)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3BD2224D"/>
    <w:multiLevelType w:val="hybridMultilevel"/>
    <w:tmpl w:val="0B90DB34"/>
    <w:lvl w:ilvl="0" w:tplc="DED89A48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40A366E3"/>
    <w:multiLevelType w:val="hybridMultilevel"/>
    <w:tmpl w:val="B62C481A"/>
    <w:lvl w:ilvl="0" w:tplc="A2A4E306">
      <w:start w:val="1"/>
      <w:numFmt w:val="decimal"/>
      <w:lvlText w:val="3.%1."/>
      <w:lvlJc w:val="left"/>
      <w:pPr>
        <w:ind w:left="1440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442D3729"/>
    <w:multiLevelType w:val="hybridMultilevel"/>
    <w:tmpl w:val="182CC176"/>
    <w:lvl w:ilvl="0" w:tplc="5B1A891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46044BFA"/>
    <w:multiLevelType w:val="hybridMultilevel"/>
    <w:tmpl w:val="A912855E"/>
    <w:lvl w:ilvl="0" w:tplc="B9F0DC94">
      <w:start w:val="1"/>
      <w:numFmt w:val="decimal"/>
      <w:lvlText w:val="4.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61B4C90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4782018D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48F76A57"/>
    <w:multiLevelType w:val="hybridMultilevel"/>
    <w:tmpl w:val="7A56AD58"/>
    <w:lvl w:ilvl="0" w:tplc="5B1A891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9005487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 w15:restartNumberingAfterBreak="0">
    <w:nsid w:val="557700DE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2" w15:restartNumberingAfterBreak="0">
    <w:nsid w:val="56275A69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56303066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4" w15:restartNumberingAfterBreak="0">
    <w:nsid w:val="57966E2E"/>
    <w:multiLevelType w:val="hybridMultilevel"/>
    <w:tmpl w:val="9B28E99E"/>
    <w:lvl w:ilvl="0" w:tplc="7DF6E47A">
      <w:start w:val="1"/>
      <w:numFmt w:val="decimal"/>
      <w:lvlText w:val="8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591F3374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6" w15:restartNumberingAfterBreak="0">
    <w:nsid w:val="5D264BB6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7" w15:restartNumberingAfterBreak="0">
    <w:nsid w:val="64FD7FEE"/>
    <w:multiLevelType w:val="hybridMultilevel"/>
    <w:tmpl w:val="43B61216"/>
    <w:lvl w:ilvl="0" w:tplc="B47C7C68">
      <w:start w:val="1"/>
      <w:numFmt w:val="decimal"/>
      <w:lvlText w:val="6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207D3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6CFA12C9"/>
    <w:multiLevelType w:val="hybridMultilevel"/>
    <w:tmpl w:val="49A46A28"/>
    <w:lvl w:ilvl="0" w:tplc="36F24C80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6D22041A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E823C95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3794A37"/>
    <w:multiLevelType w:val="hybridMultilevel"/>
    <w:tmpl w:val="6704A5CC"/>
    <w:lvl w:ilvl="0" w:tplc="9C70ED0C">
      <w:start w:val="1"/>
      <w:numFmt w:val="decimal"/>
      <w:lvlText w:val="7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3E85CD4"/>
    <w:multiLevelType w:val="hybridMultilevel"/>
    <w:tmpl w:val="3F76E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56D3AFE"/>
    <w:multiLevelType w:val="hybridMultilevel"/>
    <w:tmpl w:val="329621CE"/>
    <w:lvl w:ilvl="0" w:tplc="B47C7C68">
      <w:start w:val="1"/>
      <w:numFmt w:val="decimal"/>
      <w:lvlText w:val="6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207D3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6CB23EF"/>
    <w:multiLevelType w:val="hybridMultilevel"/>
    <w:tmpl w:val="39CEE900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8A5175A"/>
    <w:multiLevelType w:val="multilevel"/>
    <w:tmpl w:val="EFE49A38"/>
    <w:lvl w:ilvl="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6" w15:restartNumberingAfterBreak="0">
    <w:nsid w:val="78E12158"/>
    <w:multiLevelType w:val="multilevel"/>
    <w:tmpl w:val="D3D42772"/>
    <w:lvl w:ilvl="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7" w15:restartNumberingAfterBreak="0">
    <w:nsid w:val="7E2F15C7"/>
    <w:multiLevelType w:val="hybridMultilevel"/>
    <w:tmpl w:val="610C5F10"/>
    <w:lvl w:ilvl="0" w:tplc="04190011">
      <w:start w:val="1"/>
      <w:numFmt w:val="decimal"/>
      <w:lvlText w:val="%1)"/>
      <w:lvlJc w:val="left"/>
      <w:pPr>
        <w:ind w:left="1931" w:hanging="360"/>
      </w:p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num w:numId="1">
    <w:abstractNumId w:val="15"/>
  </w:num>
  <w:num w:numId="2">
    <w:abstractNumId w:val="12"/>
  </w:num>
  <w:num w:numId="3">
    <w:abstractNumId w:val="18"/>
  </w:num>
  <w:num w:numId="4">
    <w:abstractNumId w:val="24"/>
  </w:num>
  <w:num w:numId="5">
    <w:abstractNumId w:val="28"/>
  </w:num>
  <w:num w:numId="6">
    <w:abstractNumId w:val="10"/>
  </w:num>
  <w:num w:numId="7">
    <w:abstractNumId w:val="37"/>
  </w:num>
  <w:num w:numId="8">
    <w:abstractNumId w:val="25"/>
  </w:num>
  <w:num w:numId="9">
    <w:abstractNumId w:val="21"/>
  </w:num>
  <w:num w:numId="10">
    <w:abstractNumId w:val="16"/>
  </w:num>
  <w:num w:numId="11">
    <w:abstractNumId w:val="20"/>
  </w:num>
  <w:num w:numId="12">
    <w:abstractNumId w:val="44"/>
  </w:num>
  <w:num w:numId="13">
    <w:abstractNumId w:val="33"/>
  </w:num>
  <w:num w:numId="14">
    <w:abstractNumId w:val="22"/>
  </w:num>
  <w:num w:numId="15">
    <w:abstractNumId w:val="45"/>
  </w:num>
  <w:num w:numId="16">
    <w:abstractNumId w:val="38"/>
  </w:num>
  <w:num w:numId="17">
    <w:abstractNumId w:val="9"/>
  </w:num>
  <w:num w:numId="18">
    <w:abstractNumId w:val="7"/>
  </w:num>
  <w:num w:numId="19">
    <w:abstractNumId w:val="5"/>
  </w:num>
  <w:num w:numId="20">
    <w:abstractNumId w:val="17"/>
  </w:num>
  <w:num w:numId="21">
    <w:abstractNumId w:val="39"/>
  </w:num>
  <w:num w:numId="22">
    <w:abstractNumId w:val="26"/>
  </w:num>
  <w:num w:numId="23">
    <w:abstractNumId w:val="27"/>
  </w:num>
  <w:num w:numId="24">
    <w:abstractNumId w:val="19"/>
  </w:num>
  <w:num w:numId="25">
    <w:abstractNumId w:val="14"/>
  </w:num>
  <w:num w:numId="26">
    <w:abstractNumId w:val="8"/>
  </w:num>
  <w:num w:numId="27">
    <w:abstractNumId w:val="13"/>
  </w:num>
  <w:num w:numId="28">
    <w:abstractNumId w:val="4"/>
  </w:num>
  <w:num w:numId="29">
    <w:abstractNumId w:val="31"/>
  </w:num>
  <w:num w:numId="30">
    <w:abstractNumId w:val="11"/>
  </w:num>
  <w:num w:numId="31">
    <w:abstractNumId w:val="2"/>
  </w:num>
  <w:num w:numId="32">
    <w:abstractNumId w:val="43"/>
  </w:num>
  <w:num w:numId="33">
    <w:abstractNumId w:val="47"/>
  </w:num>
  <w:num w:numId="34">
    <w:abstractNumId w:val="41"/>
  </w:num>
  <w:num w:numId="35">
    <w:abstractNumId w:val="34"/>
  </w:num>
  <w:num w:numId="36">
    <w:abstractNumId w:val="46"/>
  </w:num>
  <w:num w:numId="37">
    <w:abstractNumId w:val="29"/>
  </w:num>
  <w:num w:numId="38">
    <w:abstractNumId w:val="23"/>
  </w:num>
  <w:num w:numId="39">
    <w:abstractNumId w:val="40"/>
  </w:num>
  <w:num w:numId="40">
    <w:abstractNumId w:val="1"/>
  </w:num>
  <w:num w:numId="41">
    <w:abstractNumId w:val="30"/>
  </w:num>
  <w:num w:numId="42">
    <w:abstractNumId w:val="6"/>
  </w:num>
  <w:num w:numId="43">
    <w:abstractNumId w:val="0"/>
  </w:num>
  <w:num w:numId="44">
    <w:abstractNumId w:val="36"/>
  </w:num>
  <w:num w:numId="45">
    <w:abstractNumId w:val="32"/>
  </w:num>
  <w:num w:numId="46">
    <w:abstractNumId w:val="35"/>
  </w:num>
  <w:num w:numId="47">
    <w:abstractNumId w:val="3"/>
  </w:num>
  <w:num w:numId="48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2E676B"/>
    <w:rsid w:val="004B6BA7"/>
    <w:rsid w:val="009A7D14"/>
    <w:rsid w:val="00F03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89311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7D1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9A7D14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11">
    <w:name w:val="Сетка таблицы1"/>
    <w:basedOn w:val="a1"/>
    <w:next w:val="ab"/>
    <w:uiPriority w:val="5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b">
    <w:name w:val="Table Grid"/>
    <w:basedOn w:val="a1"/>
    <w:uiPriority w:val="39"/>
    <w:rsid w:val="009A7D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br.ru/hd_base/KeyRate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vs-capita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https://www.cbr.ru/hd_base/KeyRat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vs-capita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1776</Words>
  <Characters>10124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2</cp:revision>
  <dcterms:created xsi:type="dcterms:W3CDTF">2024-10-25T06:55:00Z</dcterms:created>
  <dcterms:modified xsi:type="dcterms:W3CDTF">2024-10-25T06:55:00Z</dcterms:modified>
</cp:coreProperties>
</file>